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9D772" w14:textId="77777777" w:rsidR="00D930E5" w:rsidRPr="00936DD4" w:rsidRDefault="00D930E5" w:rsidP="00D930E5">
      <w:pPr>
        <w:rPr>
          <w:rFonts w:ascii="Montserrat" w:hAnsi="Montserrat" w:cs="Times New Roman"/>
          <w:b/>
          <w:bCs/>
          <w:color w:val="000000" w:themeColor="text1"/>
          <w:lang w:val="en-US"/>
        </w:rPr>
      </w:pPr>
      <w:r w:rsidRPr="00936DD4">
        <w:rPr>
          <w:rFonts w:ascii="Montserrat" w:hAnsi="Montserrat" w:cs="Times New Roman"/>
          <w:b/>
          <w:bCs/>
          <w:color w:val="000000" w:themeColor="text1"/>
          <w:lang w:val="en-US"/>
        </w:rPr>
        <w:t>Committee for Sustainable Development</w:t>
      </w:r>
    </w:p>
    <w:p w14:paraId="05DAE3BE" w14:textId="77777777" w:rsidR="00D930E5" w:rsidRPr="00936DD4" w:rsidRDefault="00D930E5" w:rsidP="00D930E5">
      <w:pPr>
        <w:rPr>
          <w:rFonts w:ascii="Montserrat" w:hAnsi="Montserrat" w:cs="Times New Roman"/>
          <w:color w:val="000000" w:themeColor="text1"/>
          <w:lang w:val="en-US"/>
        </w:rPr>
      </w:pPr>
      <w:r w:rsidRPr="00936DD4">
        <w:rPr>
          <w:rFonts w:ascii="Montserrat" w:eastAsia="Times New Roman" w:hAnsi="Montserrat" w:cs="Times New Roman"/>
          <w:color w:val="000000" w:themeColor="text1"/>
          <w:lang w:val="en-US"/>
        </w:rPr>
        <w:t> </w:t>
      </w:r>
    </w:p>
    <w:p w14:paraId="395FB3C2" w14:textId="77777777" w:rsidR="00D930E5" w:rsidRPr="00936DD4" w:rsidRDefault="00D930E5" w:rsidP="00D930E5">
      <w:pPr>
        <w:outlineLvl w:val="1"/>
        <w:rPr>
          <w:rFonts w:ascii="Montserrat" w:hAnsi="Montserrat"/>
          <w:b/>
          <w:bCs/>
          <w:color w:val="000000" w:themeColor="text1"/>
          <w:lang w:val="en-US"/>
        </w:rPr>
      </w:pPr>
      <w:r w:rsidRPr="00936DD4">
        <w:rPr>
          <w:rFonts w:ascii="Montserrat" w:hAnsi="Montserrat"/>
          <w:b/>
          <w:bCs/>
          <w:color w:val="000000" w:themeColor="text1"/>
          <w:lang w:val="en-US"/>
        </w:rPr>
        <w:t>Functions of the Committee</w:t>
      </w:r>
    </w:p>
    <w:p w14:paraId="277FFB1C" w14:textId="77777777" w:rsidR="00D930E5" w:rsidRPr="00936DD4" w:rsidRDefault="00D930E5" w:rsidP="00D930E5">
      <w:pPr>
        <w:outlineLvl w:val="1"/>
        <w:rPr>
          <w:rFonts w:ascii="Montserrat" w:eastAsia="Times New Roman" w:hAnsi="Montserrat"/>
          <w:b/>
          <w:bCs/>
          <w:color w:val="000000" w:themeColor="text1"/>
          <w:lang w:val="en-US"/>
        </w:rPr>
      </w:pPr>
    </w:p>
    <w:p w14:paraId="73D12EA5" w14:textId="77777777" w:rsidR="00D930E5" w:rsidRPr="00936DD4" w:rsidRDefault="00D930E5" w:rsidP="00D930E5">
      <w:pPr>
        <w:pStyle w:val="a3"/>
        <w:numPr>
          <w:ilvl w:val="0"/>
          <w:numId w:val="1"/>
        </w:numPr>
        <w:ind w:left="0" w:firstLine="0"/>
        <w:contextualSpacing w:val="0"/>
        <w:rPr>
          <w:rFonts w:ascii="Montserrat" w:hAnsi="Montserrat"/>
          <w:color w:val="000000" w:themeColor="text1"/>
          <w:sz w:val="20"/>
          <w:szCs w:val="20"/>
          <w:lang w:val="en-US"/>
        </w:rPr>
      </w:pPr>
      <w:r>
        <w:rPr>
          <w:rFonts w:ascii="Montserrat" w:hAnsi="Montserrat"/>
          <w:color w:val="000000" w:themeColor="text1"/>
          <w:sz w:val="20"/>
          <w:szCs w:val="20"/>
          <w:lang w:val="en-US"/>
        </w:rPr>
        <w:t>P</w:t>
      </w:r>
      <w:r w:rsidRPr="00936DD4">
        <w:rPr>
          <w:rFonts w:ascii="Montserrat" w:hAnsi="Montserrat"/>
          <w:color w:val="000000" w:themeColor="text1"/>
          <w:sz w:val="20"/>
          <w:szCs w:val="20"/>
          <w:lang w:val="en-US"/>
        </w:rPr>
        <w:t>roviding recommendations to the Board of Directors on decision-making issues related to the sustainable development of the Bank, including the following issues:</w:t>
      </w:r>
    </w:p>
    <w:p w14:paraId="3AF7691A" w14:textId="77777777" w:rsidR="00D930E5" w:rsidRPr="00936DD4" w:rsidRDefault="00D930E5" w:rsidP="00D930E5">
      <w:pPr>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 xml:space="preserve">- strategic directions (goals) of the Bank's development in the field of sustainable </w:t>
      </w:r>
      <w:proofErr w:type="gramStart"/>
      <w:r w:rsidRPr="00936DD4">
        <w:rPr>
          <w:rFonts w:ascii="Montserrat" w:hAnsi="Montserrat"/>
          <w:color w:val="000000" w:themeColor="text1"/>
          <w:sz w:val="20"/>
          <w:szCs w:val="20"/>
          <w:lang w:val="en-US"/>
        </w:rPr>
        <w:t>development;</w:t>
      </w:r>
      <w:proofErr w:type="gramEnd"/>
    </w:p>
    <w:p w14:paraId="4087D958" w14:textId="77777777" w:rsidR="00D930E5" w:rsidRPr="00936DD4" w:rsidRDefault="00D930E5" w:rsidP="00D930E5">
      <w:pPr>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 xml:space="preserve">- criteria for monitoring the processes of implementing the Bank's strategic goals in the field of sustainable </w:t>
      </w:r>
      <w:proofErr w:type="gramStart"/>
      <w:r w:rsidRPr="00936DD4">
        <w:rPr>
          <w:rFonts w:ascii="Montserrat" w:hAnsi="Montserrat"/>
          <w:color w:val="000000" w:themeColor="text1"/>
          <w:sz w:val="20"/>
          <w:szCs w:val="20"/>
          <w:lang w:val="en-US"/>
        </w:rPr>
        <w:t>development;</w:t>
      </w:r>
      <w:proofErr w:type="gramEnd"/>
    </w:p>
    <w:p w14:paraId="36A9E913" w14:textId="77777777" w:rsidR="00D930E5" w:rsidRPr="00936DD4" w:rsidRDefault="00D930E5" w:rsidP="00D930E5">
      <w:pPr>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 an action plan within the accepted strategy in the field of sustainable development, and making proposals for the distribution of corresponding functions within the Bank (by the Bank's corporate governance bodies, the Directorate for Sustainable Development, functional and business units</w:t>
      </w:r>
      <w:proofErr w:type="gramStart"/>
      <w:r w:rsidRPr="00936DD4">
        <w:rPr>
          <w:rFonts w:ascii="Montserrat" w:hAnsi="Montserrat"/>
          <w:color w:val="000000" w:themeColor="text1"/>
          <w:sz w:val="20"/>
          <w:szCs w:val="20"/>
          <w:lang w:val="en-US"/>
        </w:rPr>
        <w:t>);</w:t>
      </w:r>
      <w:proofErr w:type="gramEnd"/>
    </w:p>
    <w:p w14:paraId="2F5F4B28" w14:textId="77777777" w:rsidR="00D930E5" w:rsidRPr="00936DD4" w:rsidRDefault="00D930E5" w:rsidP="00D930E5">
      <w:pPr>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 xml:space="preserve">- projects and initiatives in the field of sustainable development, including projects for issuing "green" bonds or attracting "green" loans, as well as other social and environmental initiatives within the Bank's roadmap to enhance sustainable development maturity </w:t>
      </w:r>
      <w:proofErr w:type="gramStart"/>
      <w:r w:rsidRPr="00936DD4">
        <w:rPr>
          <w:rFonts w:ascii="Montserrat" w:hAnsi="Montserrat"/>
          <w:color w:val="000000" w:themeColor="text1"/>
          <w:sz w:val="20"/>
          <w:szCs w:val="20"/>
          <w:lang w:val="en-US"/>
        </w:rPr>
        <w:t>practices;</w:t>
      </w:r>
      <w:proofErr w:type="gramEnd"/>
    </w:p>
    <w:p w14:paraId="75D2FB6B" w14:textId="77777777" w:rsidR="00D930E5" w:rsidRPr="00936DD4" w:rsidRDefault="00D930E5" w:rsidP="00D930E5">
      <w:pPr>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 xml:space="preserve">- progress in achieving the set strategic goals in the field of sustainable development and related ESG KPIs of the Bank, as well as making adjustments to the approved strategy of the </w:t>
      </w:r>
      <w:proofErr w:type="gramStart"/>
      <w:r w:rsidRPr="00936DD4">
        <w:rPr>
          <w:rFonts w:ascii="Montserrat" w:hAnsi="Montserrat"/>
          <w:color w:val="000000" w:themeColor="text1"/>
          <w:sz w:val="20"/>
          <w:szCs w:val="20"/>
          <w:lang w:val="en-US"/>
        </w:rPr>
        <w:t>Bank;</w:t>
      </w:r>
      <w:proofErr w:type="gramEnd"/>
    </w:p>
    <w:p w14:paraId="3A04396C" w14:textId="77777777" w:rsidR="00D930E5" w:rsidRPr="00936DD4" w:rsidRDefault="00D930E5" w:rsidP="00D930E5">
      <w:pPr>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 xml:space="preserve">- consideration of the development strategy and assessment of the results from activities in the field of sustainable development, including subsidiaries, and forming corresponding recommendations for the Bank's Board of </w:t>
      </w:r>
      <w:proofErr w:type="gramStart"/>
      <w:r w:rsidRPr="00936DD4">
        <w:rPr>
          <w:rFonts w:ascii="Montserrat" w:hAnsi="Montserrat"/>
          <w:color w:val="000000" w:themeColor="text1"/>
          <w:sz w:val="20"/>
          <w:szCs w:val="20"/>
          <w:lang w:val="en-US"/>
        </w:rPr>
        <w:t>Directors;</w:t>
      </w:r>
      <w:proofErr w:type="gramEnd"/>
    </w:p>
    <w:p w14:paraId="4F1BC052" w14:textId="77777777" w:rsidR="00D930E5" w:rsidRPr="00936DD4" w:rsidRDefault="00D930E5" w:rsidP="00D930E5">
      <w:pPr>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 ensuring equal opportunities at the senior management level regardless of nationality, race, gender, age, sexual orientation, and religion.</w:t>
      </w:r>
    </w:p>
    <w:p w14:paraId="76ADECB1" w14:textId="77777777" w:rsidR="00D930E5" w:rsidRPr="00936DD4" w:rsidRDefault="00D930E5" w:rsidP="00D930E5">
      <w:pPr>
        <w:pStyle w:val="a3"/>
        <w:numPr>
          <w:ilvl w:val="0"/>
          <w:numId w:val="1"/>
        </w:numPr>
        <w:ind w:left="0" w:firstLine="0"/>
        <w:contextualSpacing w:val="0"/>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 xml:space="preserve">Review of the sustainability report of the Bank and formulation of recommendations for its approval to the Bank's Board of </w:t>
      </w:r>
      <w:proofErr w:type="gramStart"/>
      <w:r w:rsidRPr="00936DD4">
        <w:rPr>
          <w:rFonts w:ascii="Montserrat" w:hAnsi="Montserrat"/>
          <w:color w:val="000000" w:themeColor="text1"/>
          <w:sz w:val="20"/>
          <w:szCs w:val="20"/>
          <w:lang w:val="en-US"/>
        </w:rPr>
        <w:t>Directors;</w:t>
      </w:r>
      <w:proofErr w:type="gramEnd"/>
    </w:p>
    <w:p w14:paraId="095E3984" w14:textId="77777777" w:rsidR="00D930E5" w:rsidRPr="00936DD4" w:rsidRDefault="00D930E5" w:rsidP="00D930E5">
      <w:pPr>
        <w:pStyle w:val="a3"/>
        <w:numPr>
          <w:ilvl w:val="0"/>
          <w:numId w:val="1"/>
        </w:numPr>
        <w:ind w:left="0" w:firstLine="0"/>
        <w:contextualSpacing w:val="0"/>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 xml:space="preserve">Evaluation of the effectiveness and control of internal procedures and processes related to the implementation of the strategy in the field of sustainable </w:t>
      </w:r>
      <w:proofErr w:type="gramStart"/>
      <w:r w:rsidRPr="00936DD4">
        <w:rPr>
          <w:rFonts w:ascii="Montserrat" w:hAnsi="Montserrat"/>
          <w:color w:val="000000" w:themeColor="text1"/>
          <w:sz w:val="20"/>
          <w:szCs w:val="20"/>
          <w:lang w:val="en-US"/>
        </w:rPr>
        <w:t>development;</w:t>
      </w:r>
      <w:proofErr w:type="gramEnd"/>
    </w:p>
    <w:p w14:paraId="7ED13020" w14:textId="77777777" w:rsidR="00D930E5" w:rsidRPr="00936DD4" w:rsidRDefault="00D930E5" w:rsidP="00D930E5">
      <w:pPr>
        <w:pStyle w:val="a3"/>
        <w:numPr>
          <w:ilvl w:val="0"/>
          <w:numId w:val="1"/>
        </w:numPr>
        <w:ind w:left="0" w:firstLine="0"/>
        <w:contextualSpacing w:val="0"/>
        <w:rPr>
          <w:rFonts w:ascii="Montserrat" w:hAnsi="Montserrat"/>
          <w:color w:val="000000" w:themeColor="text1"/>
          <w:sz w:val="20"/>
          <w:szCs w:val="20"/>
        </w:rPr>
      </w:pPr>
      <w:r w:rsidRPr="00936DD4">
        <w:rPr>
          <w:rFonts w:ascii="Montserrat" w:hAnsi="Montserrat"/>
          <w:color w:val="000000" w:themeColor="text1"/>
          <w:sz w:val="20"/>
          <w:szCs w:val="20"/>
        </w:rPr>
        <w:t xml:space="preserve">Monitoring </w:t>
      </w:r>
      <w:proofErr w:type="spellStart"/>
      <w:r w:rsidRPr="00936DD4">
        <w:rPr>
          <w:rFonts w:ascii="Montserrat" w:hAnsi="Montserrat"/>
          <w:color w:val="000000" w:themeColor="text1"/>
          <w:sz w:val="20"/>
          <w:szCs w:val="20"/>
        </w:rPr>
        <w:t>of</w:t>
      </w:r>
      <w:proofErr w:type="spellEnd"/>
      <w:r w:rsidRPr="00936DD4">
        <w:rPr>
          <w:rFonts w:ascii="Montserrat" w:hAnsi="Montserrat"/>
          <w:color w:val="000000" w:themeColor="text1"/>
          <w:sz w:val="20"/>
          <w:szCs w:val="20"/>
        </w:rPr>
        <w:t>:</w:t>
      </w:r>
    </w:p>
    <w:p w14:paraId="3A303E27" w14:textId="77777777" w:rsidR="00D930E5" w:rsidRPr="00936DD4" w:rsidRDefault="00D930E5" w:rsidP="00D930E5">
      <w:pPr>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 xml:space="preserve">- implementation of the developed action plan within the framework of the strategy, including in the field of sustainable </w:t>
      </w:r>
      <w:proofErr w:type="gramStart"/>
      <w:r w:rsidRPr="00936DD4">
        <w:rPr>
          <w:rFonts w:ascii="Montserrat" w:hAnsi="Montserrat"/>
          <w:color w:val="000000" w:themeColor="text1"/>
          <w:sz w:val="20"/>
          <w:szCs w:val="20"/>
          <w:lang w:val="en-US"/>
        </w:rPr>
        <w:t>development;</w:t>
      </w:r>
      <w:proofErr w:type="gramEnd"/>
    </w:p>
    <w:p w14:paraId="67CD21D3" w14:textId="77777777" w:rsidR="00D930E5" w:rsidRPr="00936DD4" w:rsidRDefault="00D930E5" w:rsidP="00D930E5">
      <w:pPr>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 xml:space="preserve">- the organization of information technology management processes related to the implementation of the strategy in the field of sustainable development and the introduction of data collection automation for approved ESG </w:t>
      </w:r>
      <w:proofErr w:type="gramStart"/>
      <w:r w:rsidRPr="00936DD4">
        <w:rPr>
          <w:rFonts w:ascii="Montserrat" w:hAnsi="Montserrat"/>
          <w:color w:val="000000" w:themeColor="text1"/>
          <w:sz w:val="20"/>
          <w:szCs w:val="20"/>
          <w:lang w:val="en-US"/>
        </w:rPr>
        <w:t>KPIs;</w:t>
      </w:r>
      <w:proofErr w:type="gramEnd"/>
    </w:p>
    <w:p w14:paraId="43979CAE" w14:textId="77777777" w:rsidR="00D930E5" w:rsidRPr="00936DD4" w:rsidRDefault="00D930E5" w:rsidP="00D930E5">
      <w:pPr>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 xml:space="preserve">- the organization of monitoring processes, as part of the phased automation of reporting in the field of sustainable development, the collection, and analysis of ESG indicators, including ESG KPIs, for operational management, including their regular assessment for the possibility of </w:t>
      </w:r>
      <w:r w:rsidRPr="00936DD4">
        <w:rPr>
          <w:rFonts w:ascii="Montserrat" w:hAnsi="Montserrat"/>
          <w:color w:val="000000" w:themeColor="text1"/>
          <w:sz w:val="20"/>
          <w:szCs w:val="20"/>
        </w:rPr>
        <w:t>а</w:t>
      </w:r>
      <w:r w:rsidRPr="00936DD4">
        <w:rPr>
          <w:rFonts w:ascii="Montserrat" w:hAnsi="Montserrat"/>
          <w:color w:val="000000" w:themeColor="text1"/>
          <w:sz w:val="20"/>
          <w:szCs w:val="20"/>
          <w:lang w:val="en-US"/>
        </w:rPr>
        <w:t xml:space="preserve"> negative impact on the Bank and its business </w:t>
      </w:r>
      <w:proofErr w:type="gramStart"/>
      <w:r w:rsidRPr="00936DD4">
        <w:rPr>
          <w:rFonts w:ascii="Montserrat" w:hAnsi="Montserrat"/>
          <w:color w:val="000000" w:themeColor="text1"/>
          <w:sz w:val="20"/>
          <w:szCs w:val="20"/>
          <w:lang w:val="en-US"/>
        </w:rPr>
        <w:t>model;</w:t>
      </w:r>
      <w:proofErr w:type="gramEnd"/>
    </w:p>
    <w:p w14:paraId="2A6290CF" w14:textId="77777777" w:rsidR="00D930E5" w:rsidRPr="00936DD4" w:rsidRDefault="00D930E5" w:rsidP="00D930E5">
      <w:pPr>
        <w:pStyle w:val="a3"/>
        <w:numPr>
          <w:ilvl w:val="0"/>
          <w:numId w:val="1"/>
        </w:numPr>
        <w:ind w:left="0" w:firstLine="0"/>
        <w:contextualSpacing w:val="0"/>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 xml:space="preserve">Provision of support and recommendations to the Management, authorized collective bodies within the Management, and key personnel of the Bank in determining strategic orientations and achieving set </w:t>
      </w:r>
      <w:proofErr w:type="gramStart"/>
      <w:r w:rsidRPr="00936DD4">
        <w:rPr>
          <w:rFonts w:ascii="Montserrat" w:hAnsi="Montserrat"/>
          <w:color w:val="000000" w:themeColor="text1"/>
          <w:sz w:val="20"/>
          <w:szCs w:val="20"/>
          <w:lang w:val="en-US"/>
        </w:rPr>
        <w:t>goals;</w:t>
      </w:r>
      <w:proofErr w:type="gramEnd"/>
    </w:p>
    <w:p w14:paraId="225A279F" w14:textId="77777777" w:rsidR="00D930E5" w:rsidRPr="00936DD4" w:rsidRDefault="00D930E5" w:rsidP="00D930E5">
      <w:pPr>
        <w:pStyle w:val="a3"/>
        <w:numPr>
          <w:ilvl w:val="0"/>
          <w:numId w:val="1"/>
        </w:numPr>
        <w:ind w:left="0" w:firstLine="0"/>
        <w:contextualSpacing w:val="0"/>
        <w:rPr>
          <w:rFonts w:ascii="Montserrat" w:hAnsi="Montserrat"/>
          <w:color w:val="000000" w:themeColor="text1"/>
          <w:sz w:val="20"/>
          <w:szCs w:val="20"/>
          <w:lang w:val="en-US"/>
        </w:rPr>
      </w:pPr>
      <w:r w:rsidRPr="00936DD4">
        <w:rPr>
          <w:rFonts w:ascii="Montserrat" w:hAnsi="Montserrat"/>
          <w:color w:val="000000" w:themeColor="text1"/>
          <w:sz w:val="20"/>
          <w:szCs w:val="20"/>
          <w:lang w:val="en-US"/>
        </w:rPr>
        <w:t>Approval of the top-level Sustainable Development Policy.</w:t>
      </w:r>
    </w:p>
    <w:p w14:paraId="5F82AF3F" w14:textId="77777777" w:rsidR="00C17EC2" w:rsidRPr="00D930E5" w:rsidRDefault="00C17EC2">
      <w:pPr>
        <w:rPr>
          <w:lang w:val="en-US"/>
        </w:rPr>
      </w:pPr>
    </w:p>
    <w:sectPr w:rsidR="00C17EC2" w:rsidRPr="00D93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Calibri"/>
    <w:charset w:val="CC"/>
    <w:family w:val="auto"/>
    <w:pitch w:val="variable"/>
    <w:sig w:usb0="A00002FF" w:usb1="4000207B"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149ED"/>
    <w:multiLevelType w:val="hybridMultilevel"/>
    <w:tmpl w:val="36FA8B62"/>
    <w:lvl w:ilvl="0" w:tplc="C71AC5E8">
      <w:start w:val="1"/>
      <w:numFmt w:val="decimal"/>
      <w:lvlText w:val="%1)"/>
      <w:lvlJc w:val="left"/>
      <w:pPr>
        <w:ind w:left="964" w:hanging="68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0782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A0"/>
    <w:rsid w:val="00894BA0"/>
    <w:rsid w:val="00C17EC2"/>
    <w:rsid w:val="00D93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55832-9ED1-4D1E-99AE-031A0C52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0E5"/>
    <w:pPr>
      <w:spacing w:after="0" w:line="240" w:lineRule="auto"/>
    </w:pPr>
    <w:rPr>
      <w:rFonts w:ascii="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Use Case List Paragraph,NUMBERED PARAGRAPH,List Paragraph 1,маркированный,Citation List,Elenco Normale,Абзац с отступом,strich,2nd Tier Header,Абзац списка2,References,Bullets,List_Paragraph"/>
    <w:basedOn w:val="a"/>
    <w:link w:val="a4"/>
    <w:uiPriority w:val="34"/>
    <w:qFormat/>
    <w:rsid w:val="00D930E5"/>
    <w:pPr>
      <w:ind w:left="720"/>
      <w:contextualSpacing/>
    </w:pPr>
  </w:style>
  <w:style w:type="character" w:customStyle="1" w:styleId="a4">
    <w:name w:val="Абзац списка Знак"/>
    <w:aliases w:val="List Paragraph (numbered (a)) Знак,Use Case List Paragraph Знак,NUMBERED PARAGRAPH Знак,List Paragraph 1 Знак,маркированный Знак,Citation List Знак,Elenco Normale Знак,Абзац с отступом Знак,strich Знак,2nd Tier Header Знак,Bullets Знак"/>
    <w:link w:val="a3"/>
    <w:uiPriority w:val="34"/>
    <w:qFormat/>
    <w:locked/>
    <w:rsid w:val="00D930E5"/>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2440</Characters>
  <Application>Microsoft Office Word</Application>
  <DocSecurity>0</DocSecurity>
  <Lines>20</Lines>
  <Paragraphs>5</Paragraphs>
  <ScaleCrop>false</ScaleCrop>
  <Company>BCC</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Сақбаев Даулет Жанкелдіұлы</dc:creator>
  <cp:keywords/>
  <dc:description/>
  <cp:lastModifiedBy>Сақбаев Даулет Жанкелдіұлы</cp:lastModifiedBy>
  <cp:revision>2</cp:revision>
  <dcterms:created xsi:type="dcterms:W3CDTF">2024-01-17T11:14:00Z</dcterms:created>
  <dcterms:modified xsi:type="dcterms:W3CDTF">2024-01-17T11:14:00Z</dcterms:modified>
</cp:coreProperties>
</file>