
<file path=[Content_Types].xml><?xml version="1.0" encoding="utf-8"?>
<Types xmlns="http://schemas.openxmlformats.org/package/2006/content-types">
  <Default Extension="docx" ContentType="application/vnd.openxmlformats-officedocument.wordprocessingml.documen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text" w:horzAnchor="margin" w:tblpY="-83"/>
        <w:tblW w:w="10561" w:type="dxa"/>
        <w:tblLayout w:type="fixed"/>
        <w:tblLook w:val="01E0" w:firstRow="1" w:lastRow="1" w:firstColumn="1" w:lastColumn="1" w:noHBand="0" w:noVBand="0"/>
      </w:tblPr>
      <w:tblGrid>
        <w:gridCol w:w="10561"/>
      </w:tblGrid>
      <w:tr w:rsidR="003F3A7C" w:rsidRPr="00042FBF" w14:paraId="6F2CADBE" w14:textId="77777777" w:rsidTr="003F3A7C">
        <w:trPr>
          <w:trHeight w:val="2058"/>
        </w:trPr>
        <w:tc>
          <w:tcPr>
            <w:tcW w:w="10561" w:type="dxa"/>
          </w:tcPr>
          <w:p w14:paraId="7FD0FB3F" w14:textId="77777777" w:rsidR="003F3A7C" w:rsidRPr="00042FBF" w:rsidRDefault="003F3A7C" w:rsidP="003F3A7C">
            <w:pPr>
              <w:jc w:val="right"/>
              <w:rPr>
                <w:rFonts w:eastAsia="Calibri"/>
                <w:color w:val="000000"/>
                <w:szCs w:val="22"/>
                <w:lang w:val="kk-KZ" w:eastAsia="zh-CN"/>
              </w:rPr>
            </w:pPr>
          </w:p>
          <w:tbl>
            <w:tblPr>
              <w:tblpPr w:leftFromText="180" w:rightFromText="180" w:vertAnchor="text" w:horzAnchor="margin" w:tblpXSpec="right" w:tblpY="-13"/>
              <w:tblW w:w="10561" w:type="dxa"/>
              <w:tblLayout w:type="fixed"/>
              <w:tblLook w:val="01E0" w:firstRow="1" w:lastRow="1" w:firstColumn="1" w:lastColumn="1" w:noHBand="0" w:noVBand="0"/>
            </w:tblPr>
            <w:tblGrid>
              <w:gridCol w:w="5263"/>
              <w:gridCol w:w="287"/>
              <w:gridCol w:w="5011"/>
            </w:tblGrid>
            <w:tr w:rsidR="003F3A7C" w:rsidRPr="00196E1D" w14:paraId="3629F77D" w14:textId="77777777" w:rsidTr="0046265C">
              <w:trPr>
                <w:trHeight w:val="2058"/>
              </w:trPr>
              <w:tc>
                <w:tcPr>
                  <w:tcW w:w="5263" w:type="dxa"/>
                </w:tcPr>
                <w:p w14:paraId="0F43A0EB" w14:textId="77777777" w:rsidR="003F3A7C" w:rsidRPr="00853792" w:rsidRDefault="003F3A7C" w:rsidP="003F3A7C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287" w:type="dxa"/>
                </w:tcPr>
                <w:p w14:paraId="308102C1" w14:textId="77777777" w:rsidR="003F3A7C" w:rsidRPr="00853792" w:rsidRDefault="003F3A7C" w:rsidP="003F3A7C">
                  <w:pPr>
                    <w:rPr>
                      <w:lang w:val="kk-KZ"/>
                    </w:rPr>
                  </w:pPr>
                </w:p>
              </w:tc>
              <w:tc>
                <w:tcPr>
                  <w:tcW w:w="5011" w:type="dxa"/>
                </w:tcPr>
                <w:p w14:paraId="60538678" w14:textId="77777777" w:rsidR="003F3A7C" w:rsidRDefault="003F3A7C" w:rsidP="003F3A7C">
                  <w:pPr>
                    <w:jc w:val="right"/>
                    <w:rPr>
                      <w:lang w:eastAsia="x-none"/>
                    </w:rPr>
                  </w:pPr>
                  <w:r>
                    <w:rPr>
                      <w:lang w:eastAsia="x-none"/>
                    </w:rPr>
                    <w:t xml:space="preserve">Одобрено       </w:t>
                  </w:r>
                </w:p>
                <w:p w14:paraId="7F5A9A0F" w14:textId="77777777" w:rsidR="003F3A7C" w:rsidRDefault="003F3A7C" w:rsidP="003F3A7C">
                  <w:pPr>
                    <w:jc w:val="right"/>
                    <w:rPr>
                      <w:lang w:eastAsia="x-none"/>
                    </w:rPr>
                  </w:pPr>
                  <w:r>
                    <w:rPr>
                      <w:lang w:val="kk-KZ" w:eastAsia="x-none"/>
                    </w:rPr>
                    <w:t>Протоколом</w:t>
                  </w:r>
                  <w:r>
                    <w:rPr>
                      <w:lang w:eastAsia="x-none"/>
                    </w:rPr>
                    <w:t xml:space="preserve"> Правления </w:t>
                  </w:r>
                </w:p>
                <w:p w14:paraId="51D523F0" w14:textId="77777777" w:rsidR="003F3A7C" w:rsidRDefault="003F3A7C" w:rsidP="003F3A7C">
                  <w:pPr>
                    <w:jc w:val="right"/>
                    <w:rPr>
                      <w:lang w:eastAsia="x-none"/>
                    </w:rPr>
                  </w:pPr>
                  <w:r>
                    <w:rPr>
                      <w:lang w:eastAsia="x-none"/>
                    </w:rPr>
                    <w:t>№0623/4 от 23.06.2025г.</w:t>
                  </w:r>
                </w:p>
                <w:p w14:paraId="78D09D01" w14:textId="77777777" w:rsidR="003F3A7C" w:rsidRPr="00853792" w:rsidRDefault="003F3A7C" w:rsidP="003F3A7C">
                  <w:pPr>
                    <w:jc w:val="right"/>
                  </w:pPr>
                </w:p>
                <w:p w14:paraId="76242200" w14:textId="77777777" w:rsidR="003F3A7C" w:rsidRDefault="003F3A7C" w:rsidP="003F3A7C">
                  <w:pPr>
                    <w:jc w:val="right"/>
                    <w:rPr>
                      <w:rFonts w:eastAsiaTheme="minorHAnsi" w:cstheme="minorBidi"/>
                      <w:lang w:val="kk-KZ" w:eastAsia="x-none"/>
                    </w:rPr>
                  </w:pPr>
                  <w:r>
                    <w:rPr>
                      <w:rFonts w:eastAsiaTheme="minorHAnsi" w:cstheme="minorBidi"/>
                      <w:lang w:val="kk-KZ" w:eastAsia="x-none"/>
                    </w:rPr>
                    <w:t>Одобрено</w:t>
                  </w:r>
                </w:p>
                <w:p w14:paraId="633956E7" w14:textId="77777777" w:rsidR="003F3A7C" w:rsidRDefault="003F3A7C" w:rsidP="003F3A7C">
                  <w:pPr>
                    <w:jc w:val="right"/>
                    <w:rPr>
                      <w:rFonts w:eastAsiaTheme="minorHAnsi" w:cstheme="minorBidi"/>
                      <w:lang w:val="kk-KZ" w:eastAsia="x-none"/>
                    </w:rPr>
                  </w:pPr>
                  <w:r>
                    <w:rPr>
                      <w:rFonts w:eastAsiaTheme="minorHAnsi" w:cstheme="minorBidi"/>
                      <w:lang w:val="kk-KZ" w:eastAsia="x-none"/>
                    </w:rPr>
                    <w:t>Решением Комитета по устойчивому развитию</w:t>
                  </w:r>
                </w:p>
                <w:p w14:paraId="29C7D454" w14:textId="77777777" w:rsidR="003F3A7C" w:rsidRDefault="003F3A7C" w:rsidP="003F3A7C">
                  <w:pPr>
                    <w:jc w:val="right"/>
                    <w:rPr>
                      <w:rFonts w:eastAsiaTheme="minorHAnsi" w:cstheme="minorBidi"/>
                      <w:lang w:eastAsia="x-none"/>
                    </w:rPr>
                  </w:pPr>
                  <w:r>
                    <w:rPr>
                      <w:rFonts w:eastAsiaTheme="minorHAnsi" w:cstheme="minorBidi"/>
                      <w:lang w:eastAsia="x-none"/>
                    </w:rPr>
                    <w:t>№7 от 25.06.2025г.</w:t>
                  </w:r>
                </w:p>
                <w:p w14:paraId="72297061" w14:textId="77777777" w:rsidR="003F3A7C" w:rsidRPr="00853792" w:rsidRDefault="003F3A7C" w:rsidP="003F3A7C">
                  <w:pPr>
                    <w:jc w:val="right"/>
                    <w:rPr>
                      <w:bCs/>
                    </w:rPr>
                  </w:pPr>
                </w:p>
                <w:p w14:paraId="3AC93F96" w14:textId="77777777" w:rsidR="003F3A7C" w:rsidRDefault="003F3A7C" w:rsidP="003F3A7C">
                  <w:pPr>
                    <w:jc w:val="right"/>
                    <w:rPr>
                      <w:rFonts w:eastAsiaTheme="minorHAnsi" w:cstheme="minorBidi"/>
                      <w:lang w:eastAsia="x-none"/>
                    </w:rPr>
                  </w:pPr>
                  <w:r>
                    <w:rPr>
                      <w:rFonts w:eastAsiaTheme="minorHAnsi" w:cstheme="minorBidi"/>
                      <w:lang w:eastAsia="x-none"/>
                    </w:rPr>
                    <w:t>Утверждено</w:t>
                  </w:r>
                </w:p>
                <w:p w14:paraId="55992B31" w14:textId="77777777" w:rsidR="003F3A7C" w:rsidRDefault="003F3A7C" w:rsidP="003F3A7C">
                  <w:pPr>
                    <w:jc w:val="right"/>
                    <w:rPr>
                      <w:rFonts w:eastAsiaTheme="minorHAnsi" w:cstheme="minorBidi"/>
                      <w:lang w:eastAsia="x-none"/>
                    </w:rPr>
                  </w:pPr>
                  <w:r>
                    <w:rPr>
                      <w:rFonts w:eastAsiaTheme="minorHAnsi" w:cstheme="minorBidi"/>
                      <w:lang w:eastAsia="x-none"/>
                    </w:rPr>
                    <w:t xml:space="preserve"> Постановлением Совета Директоров</w:t>
                  </w:r>
                </w:p>
                <w:p w14:paraId="701ADE80" w14:textId="77777777" w:rsidR="003F3A7C" w:rsidRDefault="003F3A7C" w:rsidP="003F3A7C">
                  <w:pPr>
                    <w:jc w:val="right"/>
                    <w:rPr>
                      <w:rFonts w:eastAsiaTheme="minorHAnsi" w:cstheme="minorBidi"/>
                      <w:lang w:eastAsia="x-none"/>
                    </w:rPr>
                  </w:pPr>
                  <w:r>
                    <w:rPr>
                      <w:rFonts w:eastAsiaTheme="minorHAnsi" w:cstheme="minorBidi"/>
                      <w:lang w:eastAsia="x-none"/>
                    </w:rPr>
                    <w:t xml:space="preserve"> № 0730/1 от 30.07.2025 г.</w:t>
                  </w:r>
                </w:p>
                <w:p w14:paraId="51D6BD53" w14:textId="77777777" w:rsidR="003F3A7C" w:rsidRPr="00853792" w:rsidRDefault="003F3A7C" w:rsidP="003F3A7C">
                  <w:pPr>
                    <w:jc w:val="right"/>
                  </w:pPr>
                </w:p>
              </w:tc>
            </w:tr>
          </w:tbl>
          <w:p w14:paraId="03084431" w14:textId="77777777" w:rsidR="003F3A7C" w:rsidRPr="00042FBF" w:rsidRDefault="003F3A7C" w:rsidP="003F3A7C">
            <w:pPr>
              <w:jc w:val="right"/>
              <w:rPr>
                <w:rFonts w:eastAsia="Calibri"/>
                <w:color w:val="000000"/>
                <w:szCs w:val="22"/>
                <w:lang w:val="kk-KZ" w:eastAsia="zh-CN"/>
              </w:rPr>
            </w:pPr>
          </w:p>
        </w:tc>
      </w:tr>
    </w:tbl>
    <w:p w14:paraId="3C1123D6" w14:textId="77777777" w:rsidR="00C32423" w:rsidRPr="00042FBF" w:rsidRDefault="00C32423" w:rsidP="00C32423">
      <w:pPr>
        <w:rPr>
          <w:lang w:val="kk-KZ"/>
        </w:rPr>
      </w:pPr>
    </w:p>
    <w:p w14:paraId="25D89488" w14:textId="77777777" w:rsidR="00C32423" w:rsidRPr="00042FBF" w:rsidRDefault="00C32423" w:rsidP="00C32423">
      <w:pPr>
        <w:tabs>
          <w:tab w:val="left" w:pos="0"/>
        </w:tabs>
        <w:jc w:val="center"/>
        <w:rPr>
          <w:rFonts w:eastAsia="Calibri"/>
          <w:b/>
          <w:sz w:val="22"/>
          <w:lang w:val="kk-KZ" w:eastAsia="zh-CN"/>
        </w:rPr>
      </w:pPr>
    </w:p>
    <w:p w14:paraId="693B9399" w14:textId="77777777" w:rsidR="00C32423" w:rsidRDefault="00C32423" w:rsidP="00C32423">
      <w:pPr>
        <w:tabs>
          <w:tab w:val="left" w:pos="0"/>
        </w:tabs>
        <w:jc w:val="center"/>
        <w:rPr>
          <w:rFonts w:eastAsia="Calibri"/>
          <w:b/>
          <w:sz w:val="22"/>
          <w:lang w:val="kk-KZ" w:eastAsia="zh-CN"/>
        </w:rPr>
      </w:pPr>
    </w:p>
    <w:p w14:paraId="5D5C3722" w14:textId="77777777" w:rsidR="0057611C" w:rsidRPr="00042FBF" w:rsidRDefault="0057611C" w:rsidP="00C32423">
      <w:pPr>
        <w:tabs>
          <w:tab w:val="left" w:pos="0"/>
        </w:tabs>
        <w:jc w:val="center"/>
        <w:rPr>
          <w:rFonts w:eastAsia="Calibri"/>
          <w:b/>
          <w:sz w:val="22"/>
          <w:lang w:val="kk-KZ" w:eastAsia="zh-CN"/>
        </w:rPr>
      </w:pPr>
    </w:p>
    <w:p w14:paraId="2D9A3744" w14:textId="77777777" w:rsidR="00C32423" w:rsidRPr="00042FBF" w:rsidRDefault="00C32423" w:rsidP="00C32423">
      <w:pPr>
        <w:tabs>
          <w:tab w:val="left" w:pos="0"/>
        </w:tabs>
        <w:rPr>
          <w:rFonts w:eastAsia="Calibri"/>
          <w:b/>
          <w:sz w:val="22"/>
          <w:lang w:val="kk-KZ" w:eastAsia="zh-CN"/>
        </w:rPr>
      </w:pPr>
    </w:p>
    <w:p w14:paraId="1046F31D" w14:textId="77777777" w:rsidR="00C32423" w:rsidRDefault="00C32423" w:rsidP="00C32423">
      <w:pPr>
        <w:tabs>
          <w:tab w:val="left" w:pos="0"/>
        </w:tabs>
        <w:rPr>
          <w:rFonts w:eastAsia="Calibri"/>
          <w:b/>
          <w:lang w:val="kk-KZ" w:eastAsia="zh-CN"/>
        </w:rPr>
      </w:pPr>
    </w:p>
    <w:p w14:paraId="617B7EB6" w14:textId="77777777" w:rsidR="00B25168" w:rsidRDefault="00B25168">
      <w:pPr>
        <w:jc w:val="both"/>
      </w:pPr>
    </w:p>
    <w:p w14:paraId="617B7EC5" w14:textId="77777777" w:rsidR="00B25168" w:rsidRDefault="00B25168"/>
    <w:p w14:paraId="617B7EC9" w14:textId="77777777" w:rsidR="00B25168" w:rsidRDefault="00B25168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49C45DF3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11135E86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44917541" w14:textId="77777777" w:rsidR="003F3A7C" w:rsidRPr="00836A83" w:rsidRDefault="003F3A7C" w:rsidP="003F3A7C">
      <w:pPr>
        <w:pStyle w:val="1"/>
        <w:spacing w:before="0" w:after="240"/>
      </w:pPr>
      <w:bookmarkStart w:id="0" w:name="Политика"/>
      <w:r w:rsidRPr="00836A83">
        <w:t>Политика «зеленого» финансирования АО «Банк ЦентрКредит»</w:t>
      </w:r>
    </w:p>
    <w:bookmarkEnd w:id="0"/>
    <w:p w14:paraId="2C852C57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6268CAEF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0E0B1554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14222750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3A931D4A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3D87FE54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7089E6A5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53C4A43A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72B2A56B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4E88595C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21D2D2DA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18463EBD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3BAD5931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2B664C36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595285AB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791F99E3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093576B4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1A5F4B01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5ACEA6D2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462B77E4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6F07A6B2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048A3832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5490CAE5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7F687AC9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11FA8374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3B558706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6F4F9A1D" w14:textId="77777777" w:rsidR="0057611C" w:rsidRDefault="0057611C">
      <w:pPr>
        <w:tabs>
          <w:tab w:val="left" w:pos="0"/>
        </w:tabs>
        <w:jc w:val="center"/>
        <w:rPr>
          <w:rFonts w:eastAsia="Calibri"/>
          <w:b/>
          <w:sz w:val="22"/>
          <w:lang w:eastAsia="zh-CN"/>
        </w:rPr>
      </w:pPr>
    </w:p>
    <w:p w14:paraId="617B7ECE" w14:textId="77777777" w:rsidR="00B25168" w:rsidRDefault="00B25168">
      <w:pPr>
        <w:tabs>
          <w:tab w:val="left" w:pos="0"/>
        </w:tabs>
        <w:rPr>
          <w:rFonts w:eastAsia="Calibri"/>
          <w:b/>
          <w:lang w:eastAsia="zh-CN"/>
        </w:rPr>
      </w:pPr>
    </w:p>
    <w:p w14:paraId="617B7ECF" w14:textId="77777777" w:rsidR="00B25168" w:rsidRDefault="00B25168">
      <w:pPr>
        <w:tabs>
          <w:tab w:val="left" w:pos="0"/>
        </w:tabs>
        <w:jc w:val="center"/>
        <w:rPr>
          <w:rFonts w:eastAsia="Calibri"/>
          <w:b/>
          <w:lang w:eastAsia="zh-CN"/>
        </w:rPr>
      </w:pPr>
    </w:p>
    <w:p w14:paraId="617B7ED2" w14:textId="77777777" w:rsidR="00B25168" w:rsidRDefault="00723021" w:rsidP="0057611C">
      <w:pPr>
        <w:spacing w:line="259" w:lineRule="auto"/>
        <w:rPr>
          <w:rFonts w:eastAsia="Calibri"/>
          <w:bCs/>
          <w:lang w:eastAsia="zh-CN"/>
        </w:rPr>
      </w:pPr>
      <w:bookmarkStart w:id="1" w:name="_Политика_«зеленого»_финансирования"/>
      <w:bookmarkEnd w:id="1"/>
      <w:r>
        <w:rPr>
          <w:rFonts w:eastAsia="Calibri"/>
          <w:bCs/>
          <w:lang w:eastAsia="zh-CN"/>
        </w:rPr>
        <w:lastRenderedPageBreak/>
        <w:t xml:space="preserve">     Содержание:</w:t>
      </w:r>
    </w:p>
    <w:sdt>
      <w:sdtPr>
        <w:rPr>
          <w:rFonts w:ascii="Times New Roman" w:eastAsia="Times New Roman" w:hAnsi="Times New Roman" w:cs="Times New Roman"/>
          <w:color w:val="auto"/>
          <w:sz w:val="24"/>
          <w:szCs w:val="24"/>
        </w:rPr>
        <w:id w:val="-1513289473"/>
        <w:docPartObj>
          <w:docPartGallery w:val="Table of Contents"/>
          <w:docPartUnique/>
        </w:docPartObj>
      </w:sdtPr>
      <w:sdtContent>
        <w:p w14:paraId="617B7ED3" w14:textId="77777777" w:rsidR="00B25168" w:rsidRDefault="00B25168">
          <w:pPr>
            <w:pStyle w:val="aff0"/>
            <w:rPr>
              <w:rFonts w:ascii="Times New Roman" w:hAnsi="Times New Roman" w:cs="Times New Roman"/>
              <w:b/>
              <w:bCs/>
              <w:color w:val="auto"/>
              <w:sz w:val="24"/>
              <w:szCs w:val="24"/>
            </w:rPr>
          </w:pPr>
        </w:p>
        <w:p w14:paraId="617B7ED4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r>
            <w:fldChar w:fldCharType="begin"/>
          </w:r>
          <w:r>
            <w:rPr>
              <w:rStyle w:val="afa"/>
              <w:webHidden/>
            </w:rPr>
            <w:instrText xml:space="preserve"> TOC \z \o "1-3" \u \h</w:instrText>
          </w:r>
          <w:r>
            <w:rPr>
              <w:rStyle w:val="afa"/>
            </w:rPr>
            <w:fldChar w:fldCharType="separate"/>
          </w:r>
          <w:hyperlink w:anchor="_Toc199831599">
            <w:r>
              <w:rPr>
                <w:rStyle w:val="afa"/>
                <w:webHidden/>
              </w:rPr>
              <w:t>Глава 1. Общие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_Toc199831599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2</w:t>
            </w:r>
            <w:r>
              <w:rPr>
                <w:webHidden/>
              </w:rPr>
              <w:fldChar w:fldCharType="end"/>
            </w:r>
          </w:hyperlink>
        </w:p>
        <w:p w14:paraId="617B7ED5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0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  <w:webHidden/>
              </w:rPr>
              <w:t>Глава 2. Определение терминов и сокращения</w:t>
            </w:r>
            <w:r>
              <w:rPr>
                <w:rStyle w:val="afa"/>
                <w:webHidden/>
              </w:rPr>
              <w:tab/>
              <w:t>3</w:t>
            </w:r>
            <w:r>
              <w:rPr>
                <w:webHidden/>
              </w:rPr>
              <w:fldChar w:fldCharType="end"/>
            </w:r>
          </w:hyperlink>
        </w:p>
        <w:p w14:paraId="617B7ED6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1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  <w:webHidden/>
              </w:rPr>
              <w:t>Глава 3. Устойчивый профиль Банка</w:t>
            </w:r>
            <w:r>
              <w:rPr>
                <w:rStyle w:val="afa"/>
                <w:webHidden/>
              </w:rPr>
              <w:tab/>
              <w:t>4</w:t>
            </w:r>
            <w:r>
              <w:rPr>
                <w:webHidden/>
              </w:rPr>
              <w:fldChar w:fldCharType="end"/>
            </w:r>
          </w:hyperlink>
        </w:p>
        <w:p w14:paraId="617B7ED7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2"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_Toc199831602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  <w:webHidden/>
              </w:rPr>
              <w:t>Глава 4. Использование средств</w:t>
            </w:r>
            <w:r>
              <w:rPr>
                <w:rStyle w:val="afa"/>
                <w:webHidden/>
              </w:rPr>
              <w:tab/>
              <w:t>5</w:t>
            </w:r>
            <w:r>
              <w:rPr>
                <w:webHidden/>
              </w:rPr>
              <w:fldChar w:fldCharType="end"/>
            </w:r>
          </w:hyperlink>
        </w:p>
        <w:p w14:paraId="617B7ED8" w14:textId="77777777" w:rsidR="00B25168" w:rsidRDefault="00723021">
          <w:pPr>
            <w:pStyle w:val="2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3">
            <w:r>
              <w:rPr>
                <w:rStyle w:val="afa"/>
                <w:rFonts w:eastAsiaTheme="minorHAnsi"/>
                <w:webHidden/>
                <w:lang w:val="kk-KZ" w:eastAsia="en-US"/>
              </w:rPr>
              <w:t>4.1. Exclusion list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_Toc199831603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8</w:t>
            </w:r>
            <w:r>
              <w:rPr>
                <w:webHidden/>
              </w:rPr>
              <w:fldChar w:fldCharType="end"/>
            </w:r>
          </w:hyperlink>
        </w:p>
        <w:p w14:paraId="617B7ED9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4">
            <w:r>
              <w:rPr>
                <w:rStyle w:val="afa"/>
                <w:webHidden/>
                <w:lang w:val="kk-KZ" w:eastAsia="en-US"/>
              </w:rPr>
              <w:t xml:space="preserve">Глава </w:t>
            </w:r>
            <w:r>
              <w:rPr>
                <w:rStyle w:val="afa"/>
                <w:lang w:eastAsia="en-US"/>
              </w:rPr>
              <w:t>5. Оценка и отбор проектов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_Toc199831604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14:paraId="617B7EDA" w14:textId="77777777" w:rsidR="00B25168" w:rsidRDefault="00723021">
          <w:pPr>
            <w:pStyle w:val="2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5">
            <w:r>
              <w:rPr>
                <w:rStyle w:val="afa"/>
                <w:webHidden/>
                <w:lang w:eastAsia="en-US"/>
              </w:rPr>
              <w:t>5.1. Устойчивое финансирование в Банке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_Toc199831605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9</w:t>
            </w:r>
            <w:r>
              <w:rPr>
                <w:webHidden/>
              </w:rPr>
              <w:fldChar w:fldCharType="end"/>
            </w:r>
          </w:hyperlink>
        </w:p>
        <w:p w14:paraId="617B7EDB" w14:textId="77777777" w:rsidR="00B25168" w:rsidRDefault="00723021">
          <w:pPr>
            <w:pStyle w:val="2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6">
            <w:r>
              <w:rPr>
                <w:rStyle w:val="afa"/>
                <w:rFonts w:eastAsiaTheme="minorHAnsi"/>
                <w:webHidden/>
                <w:lang w:val="kk-KZ" w:eastAsia="en-US"/>
              </w:rPr>
              <w:t>5.2. Отбор приемлемых «зеленых» проектов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_Toc199831606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617B7EDC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7">
            <w:r>
              <w:rPr>
                <w:rStyle w:val="afa"/>
                <w:webHidden/>
                <w:lang w:eastAsia="en-US"/>
              </w:rPr>
              <w:t>Глава 6. Управление средствами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_Toc199831607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10</w:t>
            </w:r>
            <w:r>
              <w:rPr>
                <w:webHidden/>
              </w:rPr>
              <w:fldChar w:fldCharType="end"/>
            </w:r>
          </w:hyperlink>
        </w:p>
        <w:p w14:paraId="617B7EDD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8">
            <w:r>
              <w:rPr>
                <w:rStyle w:val="afa"/>
                <w:webHidden/>
                <w:lang w:eastAsia="en-US"/>
              </w:rPr>
              <w:t>Глава 7. Отчетность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_Toc199831608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11</w:t>
            </w:r>
            <w:r>
              <w:rPr>
                <w:webHidden/>
              </w:rPr>
              <w:fldChar w:fldCharType="end"/>
            </w:r>
          </w:hyperlink>
        </w:p>
        <w:p w14:paraId="617B7EDE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09">
            <w:r>
              <w:rPr>
                <w:rStyle w:val="afa"/>
                <w:webHidden/>
                <w:lang w:eastAsia="en-US"/>
              </w:rPr>
              <w:t>Глава 8. Внешняя оценка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_Toc199831609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14:paraId="617B7EDF" w14:textId="77777777" w:rsidR="00B25168" w:rsidRDefault="00723021">
          <w:pPr>
            <w:pStyle w:val="12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10">
            <w:r>
              <w:rPr>
                <w:rStyle w:val="afa"/>
                <w:webHidden/>
                <w:lang w:eastAsia="en-US"/>
              </w:rPr>
              <w:t>Глава 9. Заключительные положения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_Toc199831610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12</w:t>
            </w:r>
            <w:r>
              <w:rPr>
                <w:webHidden/>
              </w:rPr>
              <w:fldChar w:fldCharType="end"/>
            </w:r>
          </w:hyperlink>
        </w:p>
        <w:p w14:paraId="617B7EE0" w14:textId="77777777" w:rsidR="00B25168" w:rsidRDefault="00723021">
          <w:pPr>
            <w:pStyle w:val="21"/>
            <w:rPr>
              <w:rFonts w:asciiTheme="minorHAnsi" w:eastAsiaTheme="minorEastAsia" w:hAnsiTheme="minorHAnsi" w:cstheme="minorBidi"/>
              <w:kern w:val="2"/>
              <w14:ligatures w14:val="standardContextual"/>
            </w:rPr>
          </w:pPr>
          <w:hyperlink w:anchor="_Toc199831611">
            <w:r>
              <w:rPr>
                <w:rStyle w:val="afa"/>
                <w:webHidden/>
                <w:lang w:eastAsia="en-US"/>
              </w:rPr>
              <w:t>Приложение №1</w:t>
            </w:r>
            <w:r>
              <w:rPr>
                <w:webHidden/>
              </w:rPr>
              <w:fldChar w:fldCharType="begin"/>
            </w:r>
            <w:r>
              <w:rPr>
                <w:webHidden/>
              </w:rPr>
              <w:instrText>PAGEREF _Toc199831611 \h</w:instrText>
            </w:r>
            <w:r>
              <w:rPr>
                <w:webHidden/>
              </w:rPr>
            </w:r>
            <w:r>
              <w:rPr>
                <w:webHidden/>
              </w:rPr>
              <w:fldChar w:fldCharType="separate"/>
            </w:r>
            <w:r>
              <w:rPr>
                <w:rStyle w:val="afa"/>
              </w:rPr>
              <w:tab/>
              <w:t>13</w:t>
            </w:r>
            <w:r>
              <w:rPr>
                <w:webHidden/>
              </w:rPr>
              <w:fldChar w:fldCharType="end"/>
            </w:r>
          </w:hyperlink>
          <w:r>
            <w:rPr>
              <w:rStyle w:val="afa"/>
            </w:rPr>
            <w:fldChar w:fldCharType="end"/>
          </w:r>
        </w:p>
      </w:sdtContent>
    </w:sdt>
    <w:p w14:paraId="617B7EE1" w14:textId="77777777" w:rsidR="00B25168" w:rsidRDefault="00B25168"/>
    <w:p w14:paraId="617B7EE3" w14:textId="77777777" w:rsidR="00B25168" w:rsidRDefault="00723021">
      <w:pPr>
        <w:pStyle w:val="1"/>
      </w:pPr>
      <w:bookmarkStart w:id="2" w:name="_Toc135038382"/>
      <w:bookmarkStart w:id="3" w:name="_Toc138338999"/>
      <w:bookmarkStart w:id="4" w:name="_Toc139468088"/>
      <w:bookmarkStart w:id="5" w:name="_Toc139468231"/>
      <w:bookmarkStart w:id="6" w:name="_Toc140151304"/>
      <w:bookmarkStart w:id="7" w:name="_Toc140151441"/>
      <w:bookmarkStart w:id="8" w:name="_Toc140151870"/>
      <w:bookmarkStart w:id="9" w:name="_Toc140151894"/>
      <w:bookmarkStart w:id="10" w:name="_Toc140152145"/>
      <w:bookmarkStart w:id="11" w:name="_Toc149232894"/>
      <w:bookmarkStart w:id="12" w:name="_Toc180407828"/>
      <w:bookmarkStart w:id="13" w:name="_Toc199831599"/>
      <w:r>
        <w:t>Глава 1. Общие положения</w:t>
      </w:r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14:paraId="617B7EE4" w14:textId="77777777" w:rsidR="00B25168" w:rsidRDefault="00723021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theme="minorBidi"/>
          <w:color w:val="auto"/>
          <w:szCs w:val="22"/>
          <w:lang w:val="kk-KZ"/>
        </w:rPr>
      </w:pPr>
      <w:r>
        <w:rPr>
          <w:rFonts w:cstheme="minorBidi"/>
          <w:color w:val="auto"/>
          <w:szCs w:val="22"/>
          <w:lang w:val="kk-KZ"/>
        </w:rPr>
        <w:t>Политика «зеленого» финансирования АО «Банк ЦентрКредит» (далее - Политика) определяет общие положения, направления, основные принципы, цели и задачи акционерного общества «Банк ЦентрКредит» (далее - Банк) при осуществлении деятельности в области использования средств от выпуска «зеленых» облигаций</w:t>
      </w:r>
      <w:r>
        <w:rPr>
          <w:rFonts w:cstheme="minorBidi"/>
          <w:color w:val="auto"/>
          <w:szCs w:val="22"/>
        </w:rPr>
        <w:t>.</w:t>
      </w:r>
    </w:p>
    <w:p w14:paraId="617B7EE5" w14:textId="77777777" w:rsidR="00B25168" w:rsidRDefault="00723021">
      <w:pPr>
        <w:pStyle w:val="Default"/>
        <w:numPr>
          <w:ilvl w:val="0"/>
          <w:numId w:val="1"/>
        </w:numPr>
        <w:tabs>
          <w:tab w:val="left" w:pos="284"/>
        </w:tabs>
        <w:ind w:left="0" w:firstLine="0"/>
        <w:jc w:val="both"/>
        <w:rPr>
          <w:rFonts w:cstheme="minorBidi"/>
          <w:color w:val="auto"/>
          <w:szCs w:val="22"/>
          <w:lang w:val="kk-KZ"/>
        </w:rPr>
      </w:pPr>
      <w:r>
        <w:rPr>
          <w:rFonts w:cstheme="minorBidi"/>
          <w:color w:val="auto"/>
          <w:szCs w:val="22"/>
        </w:rPr>
        <w:t xml:space="preserve">Политика разработана с учетом рекомендаций, указанных в Принципах «зеленых» облигаций, администрируемых (далее – </w:t>
      </w:r>
      <w:r>
        <w:rPr>
          <w:rFonts w:cstheme="minorBidi"/>
          <w:color w:val="auto"/>
          <w:szCs w:val="22"/>
          <w:lang w:val="en-US"/>
        </w:rPr>
        <w:t>GBP</w:t>
      </w:r>
      <w:r>
        <w:rPr>
          <w:rFonts w:cstheme="minorBidi"/>
          <w:color w:val="auto"/>
          <w:szCs w:val="22"/>
        </w:rPr>
        <w:t xml:space="preserve">) Международной ассоциацией рынка капитала (далее – </w:t>
      </w:r>
      <w:r>
        <w:rPr>
          <w:rFonts w:cstheme="minorBidi"/>
          <w:color w:val="auto"/>
          <w:szCs w:val="22"/>
          <w:lang w:val="en-US"/>
        </w:rPr>
        <w:t>ICMA</w:t>
      </w:r>
      <w:r>
        <w:rPr>
          <w:rFonts w:cstheme="minorBidi"/>
          <w:color w:val="auto"/>
          <w:szCs w:val="22"/>
        </w:rPr>
        <w:t xml:space="preserve">), а также </w:t>
      </w:r>
      <w:r>
        <w:rPr>
          <w:rFonts w:cstheme="minorBidi"/>
          <w:color w:val="auto"/>
          <w:szCs w:val="22"/>
          <w:lang w:val="kk-KZ"/>
        </w:rPr>
        <w:t>учитывает ряд международных принципов и документов в области устойчивого развития</w:t>
      </w:r>
      <w:r>
        <w:rPr>
          <w:rFonts w:cstheme="minorBidi"/>
          <w:color w:val="auto"/>
          <w:szCs w:val="22"/>
        </w:rPr>
        <w:t>,</w:t>
      </w:r>
      <w:r>
        <w:rPr>
          <w:rFonts w:cstheme="minorBidi"/>
          <w:color w:val="auto"/>
          <w:szCs w:val="22"/>
          <w:lang w:val="kk-KZ"/>
        </w:rPr>
        <w:t xml:space="preserve"> включая, но не ограничиваясь:</w:t>
      </w:r>
    </w:p>
    <w:p w14:paraId="617B7EE6" w14:textId="77777777" w:rsidR="00B25168" w:rsidRDefault="00723021">
      <w:pPr>
        <w:numPr>
          <w:ilvl w:val="0"/>
          <w:numId w:val="2"/>
        </w:numPr>
        <w:tabs>
          <w:tab w:val="left" w:pos="284"/>
        </w:tabs>
        <w:ind w:left="851" w:hanging="284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Цели устойчивого развития, разработанные Генеральной ассамблеей ООН;</w:t>
      </w:r>
    </w:p>
    <w:p w14:paraId="617B7EE7" w14:textId="77777777" w:rsidR="00B25168" w:rsidRDefault="00723021">
      <w:pPr>
        <w:numPr>
          <w:ilvl w:val="0"/>
          <w:numId w:val="2"/>
        </w:numPr>
        <w:tabs>
          <w:tab w:val="left" w:pos="284"/>
        </w:tabs>
        <w:ind w:left="851" w:hanging="284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Таксономия устойчивых видов экономической деятельности Европейской Комиссии (ЕС);</w:t>
      </w:r>
    </w:p>
    <w:p w14:paraId="617B7EE8" w14:textId="77777777" w:rsidR="00B25168" w:rsidRDefault="00723021">
      <w:pPr>
        <w:numPr>
          <w:ilvl w:val="0"/>
          <w:numId w:val="2"/>
        </w:numPr>
        <w:tabs>
          <w:tab w:val="left" w:pos="284"/>
        </w:tabs>
        <w:ind w:left="851" w:hanging="284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Таксономия климатических облигаций (Climate Bonds Standard);</w:t>
      </w:r>
    </w:p>
    <w:p w14:paraId="617B7EE9" w14:textId="77777777" w:rsidR="00B25168" w:rsidRDefault="00723021">
      <w:pPr>
        <w:pStyle w:val="Default"/>
        <w:tabs>
          <w:tab w:val="left" w:pos="284"/>
        </w:tabs>
        <w:jc w:val="both"/>
        <w:rPr>
          <w:rFonts w:cstheme="minorBidi"/>
          <w:color w:val="auto"/>
          <w:szCs w:val="22"/>
          <w:lang w:val="kk-KZ"/>
        </w:rPr>
      </w:pPr>
      <w:r>
        <w:rPr>
          <w:rFonts w:cstheme="minorBidi"/>
          <w:color w:val="auto"/>
          <w:szCs w:val="22"/>
          <w:lang w:val="kk-KZ"/>
        </w:rPr>
        <w:t>соответствует Экологическому кодексу Республики Казахстан и иным нормативно-правовым актам Республики Казахстан, Кодексу корпоративного управления Банка и иным внутренним документам Банка.</w:t>
      </w:r>
    </w:p>
    <w:p w14:paraId="617B7EEA" w14:textId="77777777" w:rsidR="00B25168" w:rsidRDefault="00723021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Целью Политики является обеспечение прозрачности привлечения Банком инвестиций через инструменты устойчивого финансирования</w:t>
      </w:r>
      <w:r>
        <w:rPr>
          <w:rFonts w:eastAsiaTheme="minorHAnsi"/>
          <w:szCs w:val="22"/>
          <w:lang w:eastAsia="en-US"/>
        </w:rPr>
        <w:t>. В соответствии с Политикой Банк может выпускать инструменты «зеленого» финансирования – облигации, поступления от которых направляются исключительно на реализацию «зеленых» проектов, как описано в таблице использования поступлений ниже.</w:t>
      </w:r>
    </w:p>
    <w:p w14:paraId="617B7EEB" w14:textId="77777777" w:rsidR="00B25168" w:rsidRDefault="00723021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 xml:space="preserve">Банк выпускает «зеленые» облигации для привлечения финансирования, стимулирующего рост инвестиций в приемлемые проекты, отвечающие утановленным требованиям. Выпуск «зеленых» облигаций дополняет и способствует достижению целей ООН в области устойчивого развития в рамках действующих </w:t>
      </w:r>
      <w:hyperlink r:id="rId8">
        <w:r>
          <w:rPr>
            <w:rFonts w:eastAsiaTheme="minorHAnsi" w:cstheme="minorBidi"/>
            <w:szCs w:val="22"/>
            <w:lang w:val="kk-KZ" w:eastAsia="en-US"/>
          </w:rPr>
          <w:t>Политики устойчивого развития</w:t>
        </w:r>
      </w:hyperlink>
      <w:r>
        <w:rPr>
          <w:rFonts w:eastAsiaTheme="minorHAnsi" w:cstheme="minorBidi"/>
          <w:szCs w:val="22"/>
          <w:lang w:val="kk-KZ" w:eastAsia="en-US"/>
        </w:rPr>
        <w:t xml:space="preserve">,  </w:t>
      </w:r>
      <w:hyperlink r:id="rId9">
        <w:r>
          <w:rPr>
            <w:rFonts w:eastAsiaTheme="minorHAnsi" w:cstheme="minorBidi"/>
            <w:szCs w:val="22"/>
            <w:lang w:val="kk-KZ" w:eastAsia="en-US"/>
          </w:rPr>
          <w:t>Политики управления экологическими и социальными рисками Банка</w:t>
        </w:r>
      </w:hyperlink>
      <w:r>
        <w:rPr>
          <w:rFonts w:eastAsiaTheme="minorHAnsi" w:cstheme="minorBidi"/>
          <w:szCs w:val="22"/>
          <w:lang w:val="kk-KZ" w:eastAsia="en-US"/>
        </w:rPr>
        <w:t xml:space="preserve"> и </w:t>
      </w:r>
      <w:hyperlink r:id="rId10">
        <w:r>
          <w:rPr>
            <w:rFonts w:eastAsiaTheme="minorHAnsi" w:cstheme="minorBidi"/>
            <w:szCs w:val="22"/>
            <w:lang w:val="kk-KZ" w:eastAsia="en-US"/>
          </w:rPr>
          <w:t>Климатической стратегии</w:t>
        </w:r>
      </w:hyperlink>
      <w:r>
        <w:rPr>
          <w:rFonts w:eastAsiaTheme="minorHAnsi" w:cstheme="minorBidi"/>
          <w:szCs w:val="22"/>
          <w:lang w:val="kk-KZ" w:eastAsia="en-US"/>
        </w:rPr>
        <w:t xml:space="preserve">,  которая отдает приоритет финансированию возобновляемых источников энергии, устойчивого сельского хозяйства и других секторов зеленой экономики, определенных в ходе анализа рынка как ключевые для перехода Казахстана к экономике с низким уровнем выбросов углерода.  Мобилизуя капитал через «зеленые» облигации, Банк стремится содействовать </w:t>
      </w:r>
      <w:r>
        <w:t>экологически безопасным и устойчивым проектам</w:t>
      </w:r>
      <w:r>
        <w:rPr>
          <w:rFonts w:eastAsiaTheme="minorHAnsi" w:cstheme="minorBidi"/>
          <w:szCs w:val="22"/>
          <w:lang w:val="kk-KZ" w:eastAsia="en-US"/>
        </w:rPr>
        <w:t xml:space="preserve">, сократить финансируемые выбросы </w:t>
      </w:r>
      <w:r>
        <w:rPr>
          <w:rFonts w:eastAsiaTheme="minorHAnsi" w:cstheme="minorBidi"/>
          <w:szCs w:val="22"/>
          <w:lang w:val="kk-KZ" w:eastAsia="en-US"/>
        </w:rPr>
        <w:lastRenderedPageBreak/>
        <w:t>в своем корпоративном кредитном портфеле и укрепить свое лидерство в устойчивом развитии, обеспечивая при этом прозрачное, измеримое воздействие на окружающую среду в соответствии с целевым показателем Парижского соглашения в 1,5°C.</w:t>
      </w:r>
    </w:p>
    <w:p w14:paraId="617B7EEC" w14:textId="77777777" w:rsidR="00B25168" w:rsidRDefault="00723021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 xml:space="preserve">При реализации Политики Банк обязуется соответствовать принципам </w:t>
      </w:r>
      <w:r>
        <w:rPr>
          <w:rFonts w:eastAsiaTheme="minorHAnsi" w:cstheme="minorBidi"/>
          <w:szCs w:val="22"/>
          <w:lang w:val="en-US" w:eastAsia="en-US"/>
        </w:rPr>
        <w:t>GBP</w:t>
      </w:r>
      <w:r>
        <w:rPr>
          <w:rFonts w:eastAsiaTheme="minorHAnsi" w:cstheme="minorBidi"/>
          <w:szCs w:val="22"/>
          <w:lang w:eastAsia="en-US"/>
        </w:rPr>
        <w:t>, обеспечивать инвесторам доступность информации, необходимой для оценки воздействия их инвестиций в «зеленые» облигации на окружающую среду, включая отчеты о целевом использовании денежных средств и отчеты о воздействии.</w:t>
      </w:r>
    </w:p>
    <w:p w14:paraId="617B7EED" w14:textId="77777777" w:rsidR="00B25168" w:rsidRDefault="00723021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 xml:space="preserve">По каждой операции с применением инструментов «зеленого» финансирования Банк обязуется соответствовать основным компонентам </w:t>
      </w:r>
      <w:r>
        <w:rPr>
          <w:rFonts w:eastAsiaTheme="minorHAnsi" w:cstheme="minorBidi"/>
          <w:szCs w:val="22"/>
          <w:lang w:val="en-US" w:eastAsia="en-US"/>
        </w:rPr>
        <w:t>GBP</w:t>
      </w:r>
      <w:r>
        <w:rPr>
          <w:rFonts w:eastAsiaTheme="minorHAnsi" w:cstheme="minorBidi"/>
          <w:szCs w:val="22"/>
          <w:lang w:val="kk-KZ" w:eastAsia="en-US"/>
        </w:rPr>
        <w:t>:</w:t>
      </w:r>
    </w:p>
    <w:p w14:paraId="617B7EEE" w14:textId="77777777" w:rsidR="00B25168" w:rsidRDefault="00723021">
      <w:pPr>
        <w:pStyle w:val="ad"/>
        <w:numPr>
          <w:ilvl w:val="0"/>
          <w:numId w:val="7"/>
        </w:numPr>
        <w:tabs>
          <w:tab w:val="left" w:pos="284"/>
        </w:tabs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val="kk-KZ" w:eastAsia="en-US"/>
        </w:rPr>
        <w:t>и</w:t>
      </w:r>
      <w:r>
        <w:rPr>
          <w:rFonts w:eastAsiaTheme="minorHAnsi" w:cstheme="minorBidi"/>
          <w:szCs w:val="22"/>
          <w:lang w:eastAsia="en-US"/>
        </w:rPr>
        <w:t>спользование денежных средств</w:t>
      </w:r>
      <w:r>
        <w:rPr>
          <w:rFonts w:eastAsiaTheme="minorHAnsi" w:cstheme="minorBidi"/>
          <w:szCs w:val="22"/>
          <w:lang w:val="kk-KZ" w:eastAsia="en-US"/>
        </w:rPr>
        <w:t>;</w:t>
      </w:r>
    </w:p>
    <w:p w14:paraId="617B7EEF" w14:textId="77777777" w:rsidR="00B25168" w:rsidRDefault="00723021">
      <w:pPr>
        <w:pStyle w:val="ad"/>
        <w:numPr>
          <w:ilvl w:val="0"/>
          <w:numId w:val="7"/>
        </w:numPr>
        <w:tabs>
          <w:tab w:val="left" w:pos="284"/>
        </w:tabs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процесс оценки и отбора проектов;</w:t>
      </w:r>
    </w:p>
    <w:p w14:paraId="617B7EF0" w14:textId="77777777" w:rsidR="00B25168" w:rsidRDefault="00723021">
      <w:pPr>
        <w:pStyle w:val="ad"/>
        <w:numPr>
          <w:ilvl w:val="0"/>
          <w:numId w:val="7"/>
        </w:numPr>
        <w:tabs>
          <w:tab w:val="left" w:pos="284"/>
        </w:tabs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управление денежными средствами;</w:t>
      </w:r>
    </w:p>
    <w:p w14:paraId="617B7EF1" w14:textId="77777777" w:rsidR="00B25168" w:rsidRDefault="00723021">
      <w:pPr>
        <w:pStyle w:val="ad"/>
        <w:numPr>
          <w:ilvl w:val="0"/>
          <w:numId w:val="7"/>
        </w:numPr>
        <w:tabs>
          <w:tab w:val="left" w:pos="284"/>
        </w:tabs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отчетность.</w:t>
      </w:r>
    </w:p>
    <w:p w14:paraId="617B7EF2" w14:textId="77777777" w:rsidR="00B25168" w:rsidRDefault="00723021">
      <w:pPr>
        <w:numPr>
          <w:ilvl w:val="0"/>
          <w:numId w:val="1"/>
        </w:numPr>
        <w:tabs>
          <w:tab w:val="left" w:pos="284"/>
        </w:tabs>
        <w:ind w:left="0" w:firstLine="0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Политика обязательна к соблюдению всеми  работниками Банка при планировании и осуществлении деятельности, связанной с привлечением финансирования через «зеленые» облигации и их использовании</w:t>
      </w:r>
      <w:r>
        <w:rPr>
          <w:rFonts w:eastAsiaTheme="minorHAnsi" w:cstheme="minorBidi"/>
          <w:szCs w:val="22"/>
          <w:lang w:eastAsia="en-US"/>
        </w:rPr>
        <w:t xml:space="preserve">, </w:t>
      </w:r>
      <w:r>
        <w:rPr>
          <w:rFonts w:eastAsiaTheme="minorHAnsi" w:cstheme="minorBidi"/>
          <w:szCs w:val="22"/>
          <w:lang w:val="kk-KZ" w:eastAsia="en-US"/>
        </w:rPr>
        <w:t>подготовке и утверждению внутренних нормативных документов, разработке и внедрении бизнес-процессов, обмене информацией и других типов коммуникаций.</w:t>
      </w:r>
    </w:p>
    <w:p w14:paraId="617B7EF3" w14:textId="77777777" w:rsidR="00B25168" w:rsidRDefault="00723021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Политика является публичным документом</w:t>
      </w:r>
      <w:r>
        <w:rPr>
          <w:rFonts w:eastAsiaTheme="minorHAnsi" w:cstheme="minorBidi"/>
          <w:szCs w:val="22"/>
          <w:lang w:eastAsia="en-US"/>
        </w:rPr>
        <w:t>, доступным на информационных ресурсах Банка.</w:t>
      </w:r>
    </w:p>
    <w:p w14:paraId="617B7EF4" w14:textId="77777777" w:rsidR="00B25168" w:rsidRDefault="00723021">
      <w:pPr>
        <w:pStyle w:val="1"/>
        <w:rPr>
          <w:color w:val="auto"/>
        </w:rPr>
      </w:pPr>
      <w:bookmarkStart w:id="14" w:name="_Toc149232895"/>
      <w:bookmarkStart w:id="15" w:name="_Toc180407829"/>
      <w:bookmarkStart w:id="16" w:name="_Toc199831600"/>
      <w:r>
        <w:rPr>
          <w:color w:val="auto"/>
        </w:rPr>
        <w:t>Глава 2. Определение терминов и сокращения</w:t>
      </w:r>
      <w:bookmarkEnd w:id="14"/>
      <w:bookmarkEnd w:id="15"/>
      <w:bookmarkEnd w:id="16"/>
    </w:p>
    <w:p w14:paraId="617B7EF5" w14:textId="77777777" w:rsidR="00B25168" w:rsidRDefault="00723021">
      <w:pPr>
        <w:contextualSpacing/>
        <w:jc w:val="both"/>
        <w:rPr>
          <w:rFonts w:eastAsiaTheme="minorHAnsi"/>
          <w:bCs/>
          <w:shd w:val="clear" w:color="auto" w:fill="FFFFFF"/>
          <w:lang w:val="kk-KZ" w:eastAsia="en-US"/>
        </w:rPr>
      </w:pPr>
      <w:r>
        <w:rPr>
          <w:rFonts w:eastAsiaTheme="minorHAnsi"/>
          <w:b/>
          <w:shd w:val="clear" w:color="auto" w:fill="FFFFFF"/>
          <w:lang w:val="kk-KZ" w:eastAsia="en-US"/>
        </w:rPr>
        <w:t xml:space="preserve">АБИС – </w:t>
      </w:r>
      <w:r>
        <w:rPr>
          <w:rFonts w:eastAsiaTheme="minorHAnsi"/>
          <w:bCs/>
          <w:shd w:val="clear" w:color="auto" w:fill="FFFFFF"/>
          <w:lang w:val="kk-KZ" w:eastAsia="en-US"/>
        </w:rPr>
        <w:t>автоматизированная банковская информационная система</w:t>
      </w:r>
    </w:p>
    <w:p w14:paraId="617B7EF6" w14:textId="77777777" w:rsidR="00B25168" w:rsidRDefault="00723021">
      <w:pPr>
        <w:contextualSpacing/>
        <w:jc w:val="both"/>
      </w:pPr>
      <w:r>
        <w:rPr>
          <w:rFonts w:eastAsiaTheme="minorHAnsi"/>
          <w:b/>
          <w:shd w:val="clear" w:color="auto" w:fill="FFFFFF"/>
          <w:lang w:eastAsia="en-US"/>
        </w:rPr>
        <w:t xml:space="preserve">ВНД - </w:t>
      </w:r>
      <w:r>
        <w:t>внутренний нормативный документ Банка</w:t>
      </w:r>
    </w:p>
    <w:p w14:paraId="617B7EF7" w14:textId="77777777" w:rsidR="00B25168" w:rsidRDefault="00723021">
      <w:pPr>
        <w:contextualSpacing/>
        <w:jc w:val="both"/>
        <w:rPr>
          <w:rFonts w:eastAsiaTheme="minorHAnsi"/>
          <w:b/>
          <w:shd w:val="clear" w:color="auto" w:fill="FFFFFF"/>
          <w:lang w:eastAsia="en-US"/>
        </w:rPr>
      </w:pPr>
      <w:r>
        <w:rPr>
          <w:b/>
          <w:bCs/>
          <w:lang w:val="en-US"/>
        </w:rPr>
        <w:t>ESDD</w:t>
      </w:r>
      <w:r>
        <w:t xml:space="preserve"> - оценка степени подверженности деятельности заемщика климатическим, экологическим и социальным рискам и другим ESG-факторам</w:t>
      </w:r>
    </w:p>
    <w:p w14:paraId="617B7EF8" w14:textId="77777777" w:rsidR="00B25168" w:rsidRDefault="00723021">
      <w:pPr>
        <w:contextualSpacing/>
        <w:jc w:val="both"/>
        <w:rPr>
          <w:rFonts w:eastAsia="Calibri"/>
          <w:lang w:eastAsia="zh-CN"/>
        </w:rPr>
      </w:pPr>
      <w:r>
        <w:rPr>
          <w:rFonts w:eastAsia="Calibri"/>
          <w:b/>
          <w:lang w:val="en-US" w:eastAsia="zh-CN"/>
        </w:rPr>
        <w:t>ESG</w:t>
      </w:r>
      <w:r>
        <w:rPr>
          <w:rFonts w:eastAsia="Calibri"/>
          <w:b/>
          <w:lang w:eastAsia="zh-CN"/>
        </w:rPr>
        <w:t xml:space="preserve"> (</w:t>
      </w:r>
      <w:r>
        <w:rPr>
          <w:rFonts w:eastAsia="Calibri"/>
          <w:b/>
          <w:lang w:val="en-US" w:eastAsia="zh-CN"/>
        </w:rPr>
        <w:t>Environmental</w:t>
      </w:r>
      <w:r>
        <w:rPr>
          <w:rFonts w:eastAsia="Calibri"/>
          <w:b/>
          <w:lang w:eastAsia="zh-CN"/>
        </w:rPr>
        <w:t xml:space="preserve">, </w:t>
      </w:r>
      <w:r>
        <w:rPr>
          <w:rFonts w:eastAsia="Calibri"/>
          <w:b/>
          <w:lang w:val="en-US" w:eastAsia="zh-CN"/>
        </w:rPr>
        <w:t>Social</w:t>
      </w:r>
      <w:r>
        <w:rPr>
          <w:rFonts w:eastAsia="Calibri"/>
          <w:b/>
          <w:lang w:eastAsia="zh-CN"/>
        </w:rPr>
        <w:t xml:space="preserve">, </w:t>
      </w:r>
      <w:r>
        <w:rPr>
          <w:rFonts w:eastAsia="Calibri"/>
          <w:b/>
          <w:lang w:val="en-US" w:eastAsia="zh-CN"/>
        </w:rPr>
        <w:t>Governance</w:t>
      </w:r>
      <w:r>
        <w:rPr>
          <w:rFonts w:eastAsia="Calibri"/>
          <w:b/>
          <w:lang w:eastAsia="zh-CN"/>
        </w:rPr>
        <w:t xml:space="preserve">) - </w:t>
      </w:r>
      <w:r>
        <w:rPr>
          <w:rFonts w:eastAsia="Calibri"/>
          <w:lang w:eastAsia="zh-CN"/>
        </w:rPr>
        <w:t xml:space="preserve">подходы Банка при осуществлении финансирования, инвестирования и иной деятельности, предполагающие оценку следующих факторов при принятии решений: </w:t>
      </w:r>
    </w:p>
    <w:p w14:paraId="617B7EF9" w14:textId="77777777" w:rsidR="00B25168" w:rsidRDefault="00723021">
      <w:pPr>
        <w:numPr>
          <w:ilvl w:val="0"/>
          <w:numId w:val="2"/>
        </w:numPr>
        <w:tabs>
          <w:tab w:val="left" w:pos="284"/>
        </w:tabs>
        <w:ind w:left="0" w:firstLine="567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Theme="minorHAnsi" w:cstheme="minorBidi"/>
          <w:szCs w:val="22"/>
          <w:lang w:val="kk-KZ" w:eastAsia="en-US"/>
        </w:rPr>
        <w:t xml:space="preserve">экологические и климатические факторы, определяющие роль Банка в охране окружающей среды и в глобальной и национальной климатической повестке; </w:t>
      </w:r>
    </w:p>
    <w:p w14:paraId="617B7EFA" w14:textId="77777777" w:rsidR="00B25168" w:rsidRDefault="00723021">
      <w:pPr>
        <w:numPr>
          <w:ilvl w:val="0"/>
          <w:numId w:val="2"/>
        </w:numPr>
        <w:tabs>
          <w:tab w:val="left" w:pos="284"/>
        </w:tabs>
        <w:ind w:left="0" w:firstLine="567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 xml:space="preserve"> социальные факторы, определяющие подходы к отношению с сотрудниками, поставщиками, клиентами и обществом; </w:t>
      </w:r>
    </w:p>
    <w:p w14:paraId="617B7EFB" w14:textId="77777777" w:rsidR="00B25168" w:rsidRDefault="00723021">
      <w:pPr>
        <w:numPr>
          <w:ilvl w:val="0"/>
          <w:numId w:val="2"/>
        </w:numPr>
        <w:tabs>
          <w:tab w:val="left" w:pos="284"/>
        </w:tabs>
        <w:ind w:left="0" w:firstLine="567"/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 xml:space="preserve"> факторы корпоративного управления, отражающие подходы к управлению в части осуществления руководства Банком, оплаты труда руководителей, аудита, внутреннего контроля и прав акционеров</w:t>
      </w:r>
    </w:p>
    <w:p w14:paraId="617B7EFC" w14:textId="77777777" w:rsidR="00B25168" w:rsidRDefault="00723021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shd w:val="clear" w:color="auto" w:fill="FFFFFF"/>
          <w:lang w:eastAsia="en-US"/>
        </w:rPr>
        <w:t>Зеленые здания</w:t>
      </w:r>
      <w:r>
        <w:rPr>
          <w:rFonts w:eastAsiaTheme="minorHAnsi"/>
          <w:shd w:val="clear" w:color="auto" w:fill="FFFFFF"/>
          <w:lang w:eastAsia="en-US"/>
        </w:rPr>
        <w:t xml:space="preserve"> – </w:t>
      </w:r>
      <w:r>
        <w:rPr>
          <w:rFonts w:eastAsiaTheme="minorHAnsi"/>
          <w:lang w:val="kk-KZ" w:eastAsia="en-US"/>
        </w:rPr>
        <w:t>здания,</w:t>
      </w:r>
      <w:r>
        <w:rPr>
          <w:rFonts w:eastAsiaTheme="minorHAnsi"/>
          <w:lang w:eastAsia="en-US"/>
        </w:rPr>
        <w:t xml:space="preserve"> построенные или реконструированные для снижения потребления ресурсов и минимального воздействия на окружающую среду как в процессе возведения, так и при эксплуатации</w:t>
      </w:r>
    </w:p>
    <w:p w14:paraId="617B7EFD" w14:textId="77777777" w:rsidR="00B25168" w:rsidRDefault="00723021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«Зеленые» облигации</w:t>
      </w:r>
      <w:r>
        <w:rPr>
          <w:rFonts w:eastAsiaTheme="minorHAnsi"/>
          <w:lang w:eastAsia="en-US"/>
        </w:rPr>
        <w:t xml:space="preserve"> - облигации, средства от размещения которых будут направлены на финансирование (рефинансирование) частично или полностью новых и (или) существующих «зеленых» проектов</w:t>
      </w:r>
    </w:p>
    <w:p w14:paraId="617B7EFE" w14:textId="77777777" w:rsidR="00B25168" w:rsidRDefault="00723021">
      <w:pPr>
        <w:tabs>
          <w:tab w:val="left" w:pos="0"/>
        </w:tabs>
        <w:jc w:val="both"/>
      </w:pPr>
      <w:r>
        <w:rPr>
          <w:b/>
        </w:rPr>
        <w:t xml:space="preserve">КБ </w:t>
      </w:r>
      <w:r>
        <w:t>– бизнес-клиент с сегментом «Крупный бизнес»</w:t>
      </w:r>
    </w:p>
    <w:p w14:paraId="617B7EFF" w14:textId="77777777" w:rsidR="00B25168" w:rsidRDefault="00723021">
      <w:pPr>
        <w:contextualSpacing/>
        <w:jc w:val="both"/>
        <w:rPr>
          <w:rFonts w:eastAsiaTheme="minorHAnsi"/>
          <w:lang w:eastAsia="en-US"/>
        </w:rPr>
      </w:pPr>
      <w:r>
        <w:rPr>
          <w:rFonts w:eastAsiaTheme="minorHAnsi"/>
          <w:b/>
          <w:bCs/>
          <w:lang w:eastAsia="en-US"/>
        </w:rPr>
        <w:t>НПА</w:t>
      </w:r>
      <w:r>
        <w:rPr>
          <w:rFonts w:eastAsiaTheme="minorHAnsi"/>
          <w:lang w:eastAsia="en-US"/>
        </w:rPr>
        <w:t>-</w:t>
      </w:r>
      <w:r>
        <w:rPr>
          <w:rFonts w:ascii="Arial" w:hAnsi="Arial" w:cs="Arial"/>
          <w:b/>
          <w:bCs/>
          <w:i/>
          <w:iCs/>
          <w:sz w:val="21"/>
          <w:szCs w:val="21"/>
          <w:shd w:val="clear" w:color="auto" w:fill="FFFFFF"/>
        </w:rPr>
        <w:t xml:space="preserve"> </w:t>
      </w:r>
      <w:r>
        <w:t>нормативный правовой акт</w:t>
      </w:r>
    </w:p>
    <w:p w14:paraId="617B7F00" w14:textId="77777777" w:rsidR="00B25168" w:rsidRDefault="00723021">
      <w:pPr>
        <w:contextualSpacing/>
        <w:jc w:val="both"/>
        <w:rPr>
          <w:rFonts w:eastAsia="Calibri"/>
          <w:lang w:val="kk-KZ" w:eastAsia="zh-CN"/>
        </w:rPr>
      </w:pPr>
      <w:r>
        <w:rPr>
          <w:rFonts w:eastAsia="Calibri"/>
          <w:b/>
          <w:bCs/>
          <w:lang w:eastAsia="zh-CN"/>
        </w:rPr>
        <w:t xml:space="preserve">Организация Объединенных Наций </w:t>
      </w:r>
      <w:r>
        <w:rPr>
          <w:rFonts w:eastAsia="Calibri"/>
          <w:lang w:eastAsia="zh-CN"/>
        </w:rPr>
        <w:t>(</w:t>
      </w:r>
      <w:r>
        <w:rPr>
          <w:rFonts w:eastAsia="Calibri"/>
          <w:b/>
          <w:lang w:eastAsia="zh-CN"/>
        </w:rPr>
        <w:t>ООН)</w:t>
      </w:r>
      <w:r>
        <w:rPr>
          <w:rFonts w:eastAsia="Calibri"/>
          <w:lang w:eastAsia="zh-CN"/>
        </w:rPr>
        <w:t>- международная организация, целью которой является поддержание и укрепление международного мира и безопасности, а также развитие сотрудничества между государствам</w:t>
      </w:r>
      <w:r>
        <w:rPr>
          <w:rFonts w:eastAsia="Calibri"/>
          <w:lang w:val="kk-KZ" w:eastAsia="zh-CN"/>
        </w:rPr>
        <w:t>и</w:t>
      </w:r>
    </w:p>
    <w:p w14:paraId="617B7F01" w14:textId="77777777" w:rsidR="00B25168" w:rsidRDefault="00723021">
      <w:pPr>
        <w:contextualSpacing/>
        <w:jc w:val="both"/>
        <w:rPr>
          <w:rFonts w:eastAsia="Calibri"/>
          <w:lang w:eastAsia="zh-CN"/>
        </w:rPr>
      </w:pPr>
      <w:r>
        <w:rPr>
          <w:rFonts w:eastAsia="Calibri"/>
          <w:b/>
          <w:bCs/>
          <w:lang w:eastAsia="zh-CN"/>
        </w:rPr>
        <w:t>ПГ</w:t>
      </w:r>
      <w:r>
        <w:rPr>
          <w:rFonts w:eastAsia="Calibri"/>
          <w:lang w:eastAsia="zh-CN"/>
        </w:rPr>
        <w:t xml:space="preserve"> – </w:t>
      </w:r>
      <w:r>
        <w:rPr>
          <w:rFonts w:eastAsia="Calibri"/>
          <w:lang w:val="kk-KZ" w:eastAsia="zh-CN"/>
        </w:rPr>
        <w:t>парниковые газы</w:t>
      </w:r>
      <w:r>
        <w:rPr>
          <w:rFonts w:eastAsia="Calibri"/>
          <w:lang w:eastAsia="zh-CN"/>
        </w:rPr>
        <w:t>, загрязняющие атмосферу и приводящие к парниковому эффекту</w:t>
      </w:r>
    </w:p>
    <w:p w14:paraId="617B7F02" w14:textId="77777777" w:rsidR="00B25168" w:rsidRDefault="00723021">
      <w:pPr>
        <w:contextualSpacing/>
        <w:jc w:val="both"/>
        <w:rPr>
          <w:rFonts w:eastAsia="Calibri"/>
          <w:b/>
          <w:szCs w:val="22"/>
          <w:lang w:eastAsia="zh-CN"/>
        </w:rPr>
      </w:pPr>
      <w:r>
        <w:rPr>
          <w:rFonts w:eastAsia="Calibri"/>
          <w:b/>
          <w:szCs w:val="22"/>
          <w:lang w:eastAsia="zh-CN"/>
        </w:rPr>
        <w:t>Работник ЦКФ –</w:t>
      </w:r>
      <w:r>
        <w:rPr>
          <w:rFonts w:eastAsia="Calibri"/>
          <w:bCs/>
          <w:szCs w:val="22"/>
          <w:lang w:eastAsia="zh-CN"/>
        </w:rPr>
        <w:t xml:space="preserve"> работник </w:t>
      </w:r>
      <w:r>
        <w:rPr>
          <w:rFonts w:eastAsia="Calibri"/>
          <w:szCs w:val="22"/>
          <w:lang w:eastAsia="zh-CN"/>
        </w:rPr>
        <w:t>подразделения</w:t>
      </w:r>
      <w:r>
        <w:rPr>
          <w:rFonts w:eastAsia="Calibri"/>
          <w:b/>
          <w:bCs/>
          <w:szCs w:val="22"/>
          <w:lang w:eastAsia="zh-CN"/>
        </w:rPr>
        <w:t xml:space="preserve"> </w:t>
      </w:r>
      <w:r>
        <w:rPr>
          <w:rFonts w:eastAsia="Calibri"/>
          <w:bCs/>
          <w:szCs w:val="22"/>
          <w:lang w:eastAsia="zh-CN"/>
        </w:rPr>
        <w:t>корпоративного финансирования, ответственный за сопровождение проектов бизнес-клиентов сегмента «крупный бизнес»</w:t>
      </w:r>
    </w:p>
    <w:p w14:paraId="617B7F03" w14:textId="77777777" w:rsidR="00B25168" w:rsidRDefault="00723021">
      <w:pPr>
        <w:contextualSpacing/>
        <w:jc w:val="both"/>
        <w:rPr>
          <w:rFonts w:eastAsia="Calibri"/>
          <w:szCs w:val="22"/>
          <w:lang w:eastAsia="zh-CN"/>
        </w:rPr>
      </w:pPr>
      <w:r>
        <w:rPr>
          <w:rFonts w:eastAsia="Calibri"/>
          <w:b/>
          <w:szCs w:val="22"/>
          <w:lang w:eastAsia="zh-CN"/>
        </w:rPr>
        <w:t xml:space="preserve">РК – </w:t>
      </w:r>
      <w:r>
        <w:rPr>
          <w:rFonts w:eastAsia="Calibri"/>
          <w:szCs w:val="22"/>
          <w:lang w:eastAsia="zh-CN"/>
        </w:rPr>
        <w:t>Республика Казахстан</w:t>
      </w:r>
    </w:p>
    <w:p w14:paraId="617B7F04" w14:textId="77777777" w:rsidR="00B25168" w:rsidRDefault="00723021">
      <w:pPr>
        <w:jc w:val="both"/>
        <w:rPr>
          <w:lang w:val="kk-KZ"/>
        </w:rPr>
      </w:pPr>
      <w:r>
        <w:rPr>
          <w:b/>
          <w:bCs/>
        </w:rPr>
        <w:t>Рефинансирование</w:t>
      </w:r>
      <w:r>
        <w:t xml:space="preserve"> – </w:t>
      </w:r>
      <w:r>
        <w:rPr>
          <w:lang w:val="kk-KZ"/>
        </w:rPr>
        <w:t>в контексте настоящей Политики, рефинансирование определяется как следующие операции:</w:t>
      </w:r>
    </w:p>
    <w:p w14:paraId="617B7F05" w14:textId="77777777" w:rsidR="00B25168" w:rsidRDefault="00723021">
      <w:pPr>
        <w:numPr>
          <w:ilvl w:val="0"/>
          <w:numId w:val="14"/>
        </w:numPr>
        <w:ind w:left="567" w:hanging="283"/>
        <w:jc w:val="both"/>
        <w:rPr>
          <w:lang w:val="kk-KZ"/>
        </w:rPr>
      </w:pPr>
      <w:r>
        <w:rPr>
          <w:lang w:val="kk-KZ"/>
        </w:rPr>
        <w:t>замещение источника фондирования/финансирования по действующему кредиту заемщика на средства, полученные Банком от размещения «зеленых» облигаций;</w:t>
      </w:r>
    </w:p>
    <w:p w14:paraId="617B7F06" w14:textId="77777777" w:rsidR="00B25168" w:rsidRDefault="00723021">
      <w:pPr>
        <w:numPr>
          <w:ilvl w:val="0"/>
          <w:numId w:val="15"/>
        </w:numPr>
        <w:ind w:left="567" w:hanging="283"/>
        <w:jc w:val="both"/>
        <w:rPr>
          <w:lang w:val="kk-KZ"/>
        </w:rPr>
      </w:pPr>
      <w:r>
        <w:rPr>
          <w:lang w:val="kk-KZ"/>
        </w:rPr>
        <w:lastRenderedPageBreak/>
        <w:t>предоставление заемщику нового кредита за счет средств, полученных Банком  от размещения «зеленых» облигаций, для погашения одного или нескольких действующих кредитов заемщика</w:t>
      </w:r>
    </w:p>
    <w:p w14:paraId="617B7F07" w14:textId="77777777" w:rsidR="00B25168" w:rsidRDefault="00723021">
      <w:pPr>
        <w:jc w:val="both"/>
        <w:rPr>
          <w:rFonts w:eastAsia="Calibri"/>
          <w:lang w:eastAsia="zh-CN"/>
        </w:rPr>
      </w:pPr>
      <w:r>
        <w:rPr>
          <w:rFonts w:eastAsia="Calibri"/>
          <w:b/>
          <w:lang w:val="kk-KZ" w:eastAsia="zh-CN"/>
        </w:rPr>
        <w:t>Устойчивое</w:t>
      </w:r>
      <w:r>
        <w:rPr>
          <w:rFonts w:eastAsia="Calibri"/>
          <w:b/>
          <w:lang w:eastAsia="zh-CN"/>
        </w:rPr>
        <w:t xml:space="preserve"> финансирование</w:t>
      </w:r>
      <w:r>
        <w:rPr>
          <w:rFonts w:eastAsia="Calibri"/>
          <w:lang w:eastAsia="zh-CN"/>
        </w:rPr>
        <w:t xml:space="preserve"> - учет в кредитной деятельности Банка экологических и социальных рисков, связанных с финансируемыми проектами и клиентами, и создание адекватных систем для управления этими рисками, а также финансирование социально и экологически значимых проектов</w:t>
      </w:r>
    </w:p>
    <w:p w14:paraId="617B7F08" w14:textId="77777777" w:rsidR="00B25168" w:rsidRDefault="00723021">
      <w:pPr>
        <w:contextualSpacing/>
        <w:jc w:val="both"/>
        <w:rPr>
          <w:rFonts w:eastAsia="Calibri"/>
          <w:lang w:eastAsia="zh-CN"/>
        </w:rPr>
      </w:pPr>
      <w:r>
        <w:rPr>
          <w:rFonts w:eastAsia="Calibri"/>
          <w:b/>
          <w:lang w:eastAsia="zh-CN"/>
        </w:rPr>
        <w:t>Цели устойчивого развития (</w:t>
      </w:r>
      <w:r>
        <w:rPr>
          <w:rFonts w:eastAsia="Calibri"/>
          <w:b/>
          <w:lang w:val="kk-KZ" w:eastAsia="zh-CN"/>
        </w:rPr>
        <w:t>ЦУР</w:t>
      </w:r>
      <w:r>
        <w:rPr>
          <w:rFonts w:eastAsia="Calibri"/>
          <w:b/>
          <w:lang w:eastAsia="zh-CN"/>
        </w:rPr>
        <w:t>) -</w:t>
      </w:r>
      <w:r>
        <w:rPr>
          <w:rFonts w:eastAsiaTheme="minorHAnsi" w:cstheme="minorBidi"/>
          <w:szCs w:val="22"/>
          <w:lang w:eastAsia="en-US"/>
        </w:rPr>
        <w:t xml:space="preserve"> </w:t>
      </w:r>
      <w:r>
        <w:rPr>
          <w:rFonts w:eastAsia="Calibri"/>
          <w:lang w:eastAsia="zh-CN"/>
        </w:rPr>
        <w:t>глобально-принятые цели, направленные на ликвидацию бедности и нищеты, борьбу с неравенством и несправедливостью, а также защиту планеты и обеспечению мира и процветания для всего населения</w:t>
      </w:r>
    </w:p>
    <w:p w14:paraId="617B7F09" w14:textId="77777777" w:rsidR="00B25168" w:rsidRDefault="00723021">
      <w:pPr>
        <w:contextualSpacing/>
        <w:jc w:val="both"/>
        <w:rPr>
          <w:rFonts w:eastAsia="Calibri"/>
          <w:b/>
          <w:lang w:val="kk-KZ" w:eastAsia="zh-CN"/>
        </w:rPr>
      </w:pPr>
      <w:r>
        <w:rPr>
          <w:rFonts w:eastAsia="Calibri"/>
          <w:b/>
          <w:lang w:val="kk-KZ" w:eastAsia="zh-CN"/>
        </w:rPr>
        <w:t xml:space="preserve">ЭиС риски </w:t>
      </w:r>
      <w:r>
        <w:rPr>
          <w:rFonts w:eastAsia="Calibri"/>
          <w:b/>
          <w:lang w:eastAsia="zh-CN"/>
        </w:rPr>
        <w:t xml:space="preserve">- </w:t>
      </w:r>
      <w:r>
        <w:rPr>
          <w:rFonts w:eastAsia="Calibri"/>
          <w:bCs/>
          <w:lang w:val="kk-KZ" w:eastAsia="zh-CN"/>
        </w:rPr>
        <w:t>экологические и социальные риски.</w:t>
      </w:r>
    </w:p>
    <w:p w14:paraId="617B7F0A" w14:textId="77777777" w:rsidR="00B25168" w:rsidRDefault="00723021">
      <w:pPr>
        <w:pStyle w:val="1"/>
        <w:rPr>
          <w:color w:val="auto"/>
        </w:rPr>
      </w:pPr>
      <w:bookmarkStart w:id="17" w:name="_Toc138339001"/>
      <w:bookmarkStart w:id="18" w:name="_Toc139468091"/>
      <w:bookmarkStart w:id="19" w:name="_Toc139468234"/>
      <w:bookmarkStart w:id="20" w:name="_Toc140151307"/>
      <w:bookmarkStart w:id="21" w:name="_Toc140151444"/>
      <w:bookmarkStart w:id="22" w:name="_Toc140151873"/>
      <w:bookmarkStart w:id="23" w:name="_Toc140151897"/>
      <w:bookmarkStart w:id="24" w:name="_Toc140152148"/>
      <w:bookmarkStart w:id="25" w:name="_Toc149232896"/>
      <w:bookmarkStart w:id="26" w:name="_Toc180407830"/>
      <w:bookmarkStart w:id="27" w:name="_Toc199831601"/>
      <w:bookmarkStart w:id="28" w:name="_Hlk197942696"/>
      <w:r>
        <w:rPr>
          <w:color w:val="auto"/>
        </w:rPr>
        <w:t xml:space="preserve">Глава 3. 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r>
        <w:rPr>
          <w:color w:val="auto"/>
        </w:rPr>
        <w:t>Устойчивый профиль Банка</w:t>
      </w:r>
      <w:bookmarkEnd w:id="27"/>
      <w:bookmarkEnd w:id="28"/>
    </w:p>
    <w:p w14:paraId="617B7F0B" w14:textId="77777777" w:rsidR="00B25168" w:rsidRDefault="00723021">
      <w:pPr>
        <w:numPr>
          <w:ilvl w:val="0"/>
          <w:numId w:val="1"/>
        </w:numPr>
        <w:tabs>
          <w:tab w:val="left" w:pos="284"/>
        </w:tabs>
        <w:spacing w:after="160" w:line="259" w:lineRule="auto"/>
        <w:ind w:left="0" w:firstLine="0"/>
        <w:contextualSpacing/>
        <w:jc w:val="both"/>
        <w:rPr>
          <w:lang w:val="kk-KZ"/>
        </w:rPr>
      </w:pPr>
      <w:r>
        <w:rPr>
          <w:rFonts w:eastAsiaTheme="minorHAnsi"/>
          <w:lang w:val="kk-KZ" w:eastAsia="en-US"/>
        </w:rPr>
        <w:t>Акционерное общество «Банк ЦентрКредит» создано 19 сентября 1988 года и является одним из крупнейших банков Республики Казахстан, предоставляющим полный спектр высокотехнологичных финансовых услуг во всех регионах Казахстана.</w:t>
      </w:r>
    </w:p>
    <w:p w14:paraId="617B7F0C" w14:textId="77777777" w:rsidR="00B25168" w:rsidRDefault="00723021">
      <w:pPr>
        <w:tabs>
          <w:tab w:val="left" w:pos="284"/>
        </w:tabs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Банк, осуществляет предоставление финансовых услуг компаниями реального сектора экономики и тем самым оказывает косвенное влияние на декарбонизацию экономики. Банк стремится действовать в наилучших долгосрочных интересах общества и государства и внести позитивный вклад в повышение качества жизни граждан, социально-экономическое развитие и экологическую устойчивость государства. Банк определил  для себя ключевые направления деятельности в области устойчивого финансирования:</w:t>
      </w:r>
    </w:p>
    <w:p w14:paraId="617B7F0D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обеспечение полноценной оценки климатических рисков, и минимизация их влияния на кредитный портфель;</w:t>
      </w:r>
    </w:p>
    <w:p w14:paraId="617B7F0E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оценка ЭиС рисков (ESDD) с целью минимизации потенциальных обязательств и угроз для Банка при выдаче займа;</w:t>
      </w:r>
    </w:p>
    <w:p w14:paraId="617B7F0F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финансирование видов деятельности и проектов, которые оказывают положительное влияние на достижение целей устойчивого развития;</w:t>
      </w:r>
    </w:p>
    <w:p w14:paraId="617B7F10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постепенное сокращение финансирования видов деятельности и проектов, противоречащих достижению целей устойчивого развития.</w:t>
      </w:r>
    </w:p>
    <w:p w14:paraId="617B7F11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В </w:t>
      </w:r>
      <w:r>
        <w:rPr>
          <w:rFonts w:eastAsiaTheme="minorHAnsi"/>
        </w:rPr>
        <w:t>Б</w:t>
      </w:r>
      <w:r>
        <w:rPr>
          <w:rFonts w:eastAsiaTheme="minorHAnsi"/>
          <w:lang w:val="kk-KZ" w:eastAsia="en-US"/>
        </w:rPr>
        <w:t>анке утверждены и действуют ключевые документы, регулирующие аспекты устойчивого развития, которые отражают стратегические приоритеты Банка и подтверждают его приверженность принципам корпоративной ответственности:</w:t>
      </w:r>
    </w:p>
    <w:p w14:paraId="617B7F12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hyperlink r:id="rId11">
        <w:r>
          <w:rPr>
            <w:rFonts w:eastAsiaTheme="minorHAnsi" w:cstheme="minorBidi"/>
            <w:szCs w:val="22"/>
          </w:rPr>
          <w:t>Политика устойчивого развития АО «Банк ЦентрКредит»</w:t>
        </w:r>
      </w:hyperlink>
      <w:r>
        <w:rPr>
          <w:rFonts w:eastAsiaTheme="minorHAnsi" w:cstheme="minorBidi"/>
          <w:szCs w:val="22"/>
          <w:lang w:eastAsia="en-US"/>
        </w:rPr>
        <w:t>;</w:t>
      </w:r>
    </w:p>
    <w:p w14:paraId="617B7F13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hyperlink r:id="rId12">
        <w:r>
          <w:rPr>
            <w:rFonts w:eastAsiaTheme="minorHAnsi" w:cstheme="minorBidi"/>
            <w:szCs w:val="22"/>
          </w:rPr>
          <w:t>Политика управления экологическими и социальными рисками АО «Банк ЦентрКредит»</w:t>
        </w:r>
      </w:hyperlink>
      <w:r>
        <w:rPr>
          <w:rFonts w:eastAsiaTheme="minorHAnsi" w:cstheme="minorBidi"/>
          <w:szCs w:val="22"/>
          <w:lang w:eastAsia="en-US"/>
        </w:rPr>
        <w:t>;</w:t>
      </w:r>
    </w:p>
    <w:p w14:paraId="617B7F14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hyperlink r:id="rId13">
        <w:r>
          <w:rPr>
            <w:rFonts w:eastAsiaTheme="minorHAnsi" w:cstheme="minorBidi"/>
            <w:szCs w:val="22"/>
          </w:rPr>
          <w:t>Политика по правам человека АО «Банк ЦентрКредит»</w:t>
        </w:r>
      </w:hyperlink>
      <w:r>
        <w:rPr>
          <w:rFonts w:eastAsiaTheme="minorHAnsi" w:cstheme="minorBidi"/>
          <w:szCs w:val="22"/>
          <w:lang w:eastAsia="en-US"/>
        </w:rPr>
        <w:t>;</w:t>
      </w:r>
    </w:p>
    <w:p w14:paraId="617B7F15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hyperlink r:id="rId14">
        <w:r>
          <w:rPr>
            <w:rFonts w:eastAsiaTheme="minorHAnsi" w:cstheme="minorBidi"/>
            <w:szCs w:val="22"/>
          </w:rPr>
          <w:t>Политика по противодействию коррупции в АО «Банк ЦентрКредит»</w:t>
        </w:r>
      </w:hyperlink>
      <w:r>
        <w:rPr>
          <w:rFonts w:eastAsiaTheme="minorHAnsi" w:cstheme="minorBidi"/>
          <w:szCs w:val="22"/>
          <w:lang w:eastAsia="en-US"/>
        </w:rPr>
        <w:t>;</w:t>
      </w:r>
    </w:p>
    <w:p w14:paraId="617B7F16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hyperlink r:id="rId15">
        <w:r>
          <w:rPr>
            <w:rFonts w:eastAsiaTheme="minorHAnsi" w:cstheme="minorBidi"/>
            <w:szCs w:val="22"/>
          </w:rPr>
          <w:t>Кодекс корпоративной этики работников АО «Банк ЦентрКредит»;</w:t>
        </w:r>
      </w:hyperlink>
    </w:p>
    <w:p w14:paraId="617B7F17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Положение о Комитете по устойчивому развитию при Совете директоров АО «Банк ЦентрКредит»;</w:t>
      </w:r>
    </w:p>
    <w:p w14:paraId="617B7F18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  <w:lang w:eastAsia="en-US"/>
        </w:rPr>
      </w:pPr>
      <w:r>
        <w:rPr>
          <w:rFonts w:eastAsiaTheme="minorHAnsi" w:cstheme="minorBidi"/>
          <w:szCs w:val="22"/>
          <w:lang w:eastAsia="en-US"/>
        </w:rPr>
        <w:t>Положение по взаимодействию с Контрагентами, согласно правилам ESG в АО «Банк ЦентрКредит»;</w:t>
      </w:r>
    </w:p>
    <w:p w14:paraId="617B7F19" w14:textId="77777777" w:rsidR="00B25168" w:rsidRDefault="00723021">
      <w:pPr>
        <w:tabs>
          <w:tab w:val="left" w:pos="284"/>
        </w:tabs>
        <w:jc w:val="both"/>
        <w:rPr>
          <w:rFonts w:eastAsiaTheme="minorHAnsi"/>
          <w:lang w:val="kk-KZ" w:eastAsia="en-US"/>
        </w:rPr>
      </w:pPr>
      <w:r>
        <w:rPr>
          <w:rFonts w:eastAsiaTheme="minorHAnsi"/>
          <w:color w:val="0070C0"/>
          <w:lang w:val="kk-KZ" w:eastAsia="en-US"/>
        </w:rPr>
        <w:t xml:space="preserve">         </w:t>
      </w:r>
      <w:r>
        <w:rPr>
          <w:rFonts w:eastAsiaTheme="minorHAnsi"/>
          <w:lang w:val="kk-KZ" w:eastAsia="en-US"/>
        </w:rPr>
        <w:t>Обязательства Банка, зафиксированные в соответствующих политиках, являются обязательными для всех сотрудников при планировании и осуществлении деятельности, связанной с взаимодействием с заинтересованными сторонами или затрагивающей интересы заинтересованных сторон, а также при подготовке и утверждении внутренних нормативных документов, разработке и внедрении бизнес-процессов, обмене информацией и других типов коммуникации.</w:t>
      </w:r>
    </w:p>
    <w:p w14:paraId="617B7F1A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eastAsia="en-US"/>
        </w:rPr>
        <w:t xml:space="preserve">Банк разработал и утвердил долгосрочную </w:t>
      </w:r>
      <w:hyperlink r:id="rId16">
        <w:r>
          <w:rPr>
            <w:rFonts w:eastAsiaTheme="minorHAnsi"/>
            <w:lang w:val="kk-KZ" w:eastAsia="en-US"/>
          </w:rPr>
          <w:t>Климатическую стратегию</w:t>
        </w:r>
      </w:hyperlink>
      <w:r>
        <w:rPr>
          <w:rFonts w:eastAsiaTheme="minorHAnsi"/>
          <w:lang w:val="kk-KZ" w:eastAsia="en-US"/>
        </w:rPr>
        <w:t xml:space="preserve">, содержащую цели и комплекс мер и инициатив по достижению Банком углеродной нейтральности. В Климатической стратегии определены промежуточные и долгосрочные (до 2030 года) цели по снижению углеродного следа по собственным операциям Банка и по финансируемому корпоративному кредитному портфелю, а также целевые показатели по наращиванию портфеля «зеленых» кредитов.  Начиная с 2024 года,     в корпоративную долгосрочную Стратегию развития Банка интегрирована </w:t>
      </w:r>
      <w:r>
        <w:rPr>
          <w:rFonts w:eastAsiaTheme="minorHAnsi"/>
          <w:lang w:val="en-US" w:eastAsia="en-US"/>
        </w:rPr>
        <w:t>ESG</w:t>
      </w:r>
      <w:r>
        <w:rPr>
          <w:rFonts w:eastAsiaTheme="minorHAnsi"/>
          <w:lang w:eastAsia="en-US"/>
        </w:rPr>
        <w:t>-</w:t>
      </w:r>
      <w:r>
        <w:rPr>
          <w:rFonts w:eastAsiaTheme="minorHAnsi"/>
          <w:lang w:val="kk-KZ" w:eastAsia="en-US"/>
        </w:rPr>
        <w:t xml:space="preserve">стратегия, </w:t>
      </w:r>
      <w:r>
        <w:rPr>
          <w:rFonts w:eastAsiaTheme="minorHAnsi"/>
          <w:lang w:val="kk-KZ" w:eastAsia="en-US"/>
        </w:rPr>
        <w:lastRenderedPageBreak/>
        <w:t>определяющая экологические</w:t>
      </w:r>
      <w:r>
        <w:rPr>
          <w:rFonts w:eastAsiaTheme="minorHAnsi"/>
          <w:lang w:eastAsia="en-US"/>
        </w:rPr>
        <w:t xml:space="preserve">, социально-экономические и управленческие </w:t>
      </w:r>
      <w:r>
        <w:rPr>
          <w:rFonts w:eastAsiaTheme="minorHAnsi"/>
          <w:lang w:val="kk-KZ" w:eastAsia="en-US"/>
        </w:rPr>
        <w:t>цели Банка за пределами климатической стратегии.</w:t>
      </w:r>
    </w:p>
    <w:p w14:paraId="617B7F1B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eastAsia="en-US"/>
        </w:rPr>
        <w:t>Банк присоединился к Глобальному договору ООН и соблюдает его принципы в сферах прав человека, трудовых отношений, окружающей среды и противодействия коррупции, продвигая эти принципы среди заинтересованных сторон и интегрируя их в свою деятельность.</w:t>
      </w:r>
    </w:p>
    <w:p w14:paraId="617B7F1C" w14:textId="77777777" w:rsidR="00B25168" w:rsidRDefault="00723021">
      <w:pPr>
        <w:tabs>
          <w:tab w:val="left" w:pos="284"/>
        </w:tabs>
        <w:spacing w:after="160" w:line="259" w:lineRule="auto"/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Банк принимает участие в совместных партнерских проектах Европейского банка реконструкции и развития (ЕБРР) и Программы развития ООН (ПРООН). В рамках данных проектов Банк получает квалифицированные консультации экспертов международных институтов, специализированные образовательные курсы для сотрудников и клиентов банка, а также аудит соответствия процессов банка лучшим международным практикам устойчивого развития.</w:t>
      </w:r>
    </w:p>
    <w:p w14:paraId="617B7F1D" w14:textId="77777777" w:rsidR="00B25168" w:rsidRDefault="00723021">
      <w:pPr>
        <w:tabs>
          <w:tab w:val="left" w:pos="284"/>
        </w:tabs>
        <w:contextualSpacing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Банк является партнером ЕБРР по программам финансирования зеленой экономики GEFF (Green Economy Financing Facility), а также по программе «Женщины в бизнесе» (EBRD Women in Business (WiB) Programme).</w:t>
      </w:r>
    </w:p>
    <w:p w14:paraId="617B7F1E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Банк в своей деятельности, направленной на достижение целей устойчивого развития, учитывает интересы всех заинтересованных сторон и организует взаимодействие с ними в соответствии со Стандартом АА1000SES, с учетом следующих принципов:</w:t>
      </w:r>
    </w:p>
    <w:p w14:paraId="617B7F1F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принцип существенности - Банк четко определяет свои заинтересованные стороны и осознает, какие интересы заинтересованных сторон являются существенными;</w:t>
      </w:r>
    </w:p>
    <w:p w14:paraId="617B7F20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принцип полноты - в процессе своей деятельности Банк обращает внимание на опасения заинтересованных сторон и стремится понимать их взгляды по значимым вопросам, потребности и ожидаемые результаты деятельности;</w:t>
      </w:r>
    </w:p>
    <w:p w14:paraId="617B7F21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принцип готовности к реагированию - при осуществлении своей деятельности Банк последовательно реагирует на все существенные вопросы заинтересованных сторон.</w:t>
      </w:r>
    </w:p>
    <w:p w14:paraId="617B7F22" w14:textId="77777777" w:rsidR="00B25168" w:rsidRDefault="00723021">
      <w:pPr>
        <w:tabs>
          <w:tab w:val="left" w:pos="284"/>
        </w:tabs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          Согласно Политики устойчивого развития, Банком определены 11 групп заинтересованных сторон, на которые Банк оказывает  воздействие и они являются значимыми для Банка. Банк на ежегодной основе осуществляет опрос мнений заинтересованных сторон с целью выявления существенных тем, которые учитываются при реализации инициатив Банка в области устойчивого развития.</w:t>
      </w:r>
    </w:p>
    <w:p w14:paraId="617B7F23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>Банк обеспечивает комплексный подход к раскрытию информации о своей деятельности в сфере устойчивого развития, представляя детализированные данные по экологическим, социальным и управленческим аспектам. Подготовка отчета об устойчивом развитии осуществляется с учетом стандартов по раскрытию информации в области экологического, социального и корпоративного управления, включая но не ограничиваясь:</w:t>
      </w:r>
    </w:p>
    <w:p w14:paraId="617B7F24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Руководство по отчетности в области устойчивого развития Глобальной инициативы по отчетности (Global Reporting Initiative, GRI);</w:t>
      </w:r>
    </w:p>
    <w:p w14:paraId="617B7F25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Стандарты отчетности Sustainability Accounting Standards Board (SASB) для коммерческих банков и компаний ИТ-сектора;</w:t>
      </w:r>
    </w:p>
    <w:p w14:paraId="617B7F26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Рекомендации рабочей группы по вопросам раскрытия финансовой информации, связанной с изменением климата при Совете по финансовой стабильности (Task force on Climaterelated Financial Disclosures, TCFD);</w:t>
      </w:r>
    </w:p>
    <w:p w14:paraId="617B7F27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Международные стандарты финансовой отчетности S1/S2 (IFRS S1/S2).</w:t>
      </w:r>
    </w:p>
    <w:p w14:paraId="617B7F28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lang w:val="kk-KZ" w:eastAsia="en-US"/>
        </w:rPr>
      </w:pPr>
      <w:r>
        <w:rPr>
          <w:rFonts w:eastAsiaTheme="minorHAnsi"/>
          <w:lang w:val="kk-KZ" w:eastAsia="en-US"/>
        </w:rPr>
        <w:t xml:space="preserve">В сентябре 2024 года Банку была присвоена оценка в 61 балл (из 100) в рамках S&amp;P Global Corporate Sustainability Assessment (S&amp;P Global CSA), что стало наилучшим результатом среди банков второго уровня Республики Казахстан. Банк имеет намерение сохранять и улучшать свой </w:t>
      </w:r>
      <w:r>
        <w:rPr>
          <w:rFonts w:eastAsiaTheme="minorHAnsi"/>
          <w:lang w:val="en-US" w:eastAsia="en-US"/>
        </w:rPr>
        <w:t>ESG</w:t>
      </w:r>
      <w:r>
        <w:rPr>
          <w:rFonts w:eastAsiaTheme="minorHAnsi"/>
          <w:lang w:eastAsia="en-US"/>
        </w:rPr>
        <w:t>-</w:t>
      </w:r>
      <w:r>
        <w:rPr>
          <w:rFonts w:eastAsiaTheme="minorHAnsi"/>
          <w:lang w:val="kk-KZ" w:eastAsia="en-US"/>
        </w:rPr>
        <w:t>рейтинг</w:t>
      </w:r>
      <w:r>
        <w:rPr>
          <w:rFonts w:eastAsiaTheme="minorHAnsi"/>
          <w:lang w:eastAsia="en-US"/>
        </w:rPr>
        <w:t>, за счет выполнения стратегических целей и задач Политики устойчивого развития.</w:t>
      </w:r>
    </w:p>
    <w:p w14:paraId="617B7F29" w14:textId="77777777" w:rsidR="00B25168" w:rsidRDefault="00723021">
      <w:pPr>
        <w:pStyle w:val="1"/>
        <w:rPr>
          <w:color w:val="auto"/>
        </w:rPr>
      </w:pPr>
      <w:bookmarkStart w:id="29" w:name="_Toc138339002"/>
      <w:bookmarkStart w:id="30" w:name="_Toc139468092"/>
      <w:bookmarkStart w:id="31" w:name="_Toc139468235"/>
      <w:bookmarkStart w:id="32" w:name="_Toc140151308"/>
      <w:bookmarkStart w:id="33" w:name="_Toc140151445"/>
      <w:bookmarkStart w:id="34" w:name="_Toc140151874"/>
      <w:bookmarkStart w:id="35" w:name="_Toc140151898"/>
      <w:bookmarkStart w:id="36" w:name="_Toc140152149"/>
      <w:bookmarkStart w:id="37" w:name="_Toc149232897"/>
      <w:bookmarkStart w:id="38" w:name="_Toc180407831"/>
      <w:bookmarkStart w:id="39" w:name="_Toc199831602"/>
      <w:r>
        <w:rPr>
          <w:color w:val="auto"/>
        </w:rPr>
        <w:t xml:space="preserve">Глава 4. </w:t>
      </w:r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r>
        <w:rPr>
          <w:color w:val="auto"/>
        </w:rPr>
        <w:t>Использование средств</w:t>
      </w:r>
      <w:bookmarkEnd w:id="38"/>
      <w:bookmarkEnd w:id="39"/>
    </w:p>
    <w:p w14:paraId="617B7F2A" w14:textId="77777777" w:rsidR="00B25168" w:rsidRDefault="00723021">
      <w:pPr>
        <w:pStyle w:val="ad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ajorEastAsia"/>
        </w:rPr>
      </w:pPr>
      <w:r>
        <w:rPr>
          <w:rFonts w:eastAsiaTheme="majorEastAsia"/>
        </w:rPr>
        <w:t xml:space="preserve">Все поступления от выпуска </w:t>
      </w:r>
      <w:r>
        <w:rPr>
          <w:rFonts w:eastAsiaTheme="majorEastAsia"/>
          <w:lang w:val="kk-KZ"/>
        </w:rPr>
        <w:t>«зеленых» облигаций</w:t>
      </w:r>
      <w:r>
        <w:rPr>
          <w:rFonts w:eastAsiaTheme="majorEastAsia"/>
        </w:rPr>
        <w:t xml:space="preserve"> направляются исключительно на финансирование или рефинансирование (частичное или полное) приемлемых «зеленых» проектов бизнес-клиентов </w:t>
      </w:r>
      <w:r>
        <w:rPr>
          <w:rFonts w:eastAsiaTheme="majorEastAsia"/>
          <w:color w:val="000000" w:themeColor="text1"/>
        </w:rPr>
        <w:t xml:space="preserve">сегмента «крупный бизнес». </w:t>
      </w:r>
      <w:r>
        <w:rPr>
          <w:rFonts w:eastAsiaTheme="majorEastAsia"/>
        </w:rPr>
        <w:t>При рефинансировании (частичном или полном) Банк отдает предпочтение приемлемым «зеленым» проектам, профинансированным не ранее 3 лет до рефинансирования.</w:t>
      </w:r>
    </w:p>
    <w:p w14:paraId="617B7F2B" w14:textId="77777777" w:rsidR="00B25168" w:rsidRDefault="00723021">
      <w:pPr>
        <w:pStyle w:val="ad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ajorEastAsia"/>
        </w:rPr>
      </w:pPr>
      <w:r>
        <w:rPr>
          <w:rFonts w:eastAsiaTheme="majorEastAsia"/>
        </w:rPr>
        <w:lastRenderedPageBreak/>
        <w:t>Поступления от выпуска «зеленых» облигаций направляются на финансирование или рефинансирование следующих категорий проектов по таким направлениям как возобновляемая энергия, энергоэффективность, предотвращение загрязнения и контроль над ним, экологически устойчивое управление природными ресурсами и землепользование, сохранение земного и водного биоразнообразия, экологически чистый транспорт, устойчивое управление водными ресурсами и сточными водами, адаптация к изменению климата, зеленые здания и продукты, производственные технологии и процессы, адаптированные к циркулярной экономике (далее - приемлемые «зеленые» проекты), в соответствии с описанием и критериями, приведенными в Таблице 1.</w:t>
      </w:r>
    </w:p>
    <w:p w14:paraId="617B7F2C" w14:textId="77777777" w:rsidR="00B25168" w:rsidRDefault="00723021">
      <w:pPr>
        <w:pStyle w:val="ad"/>
        <w:ind w:left="567"/>
        <w:jc w:val="right"/>
        <w:rPr>
          <w:rFonts w:eastAsiaTheme="majorEastAsia"/>
          <w:i/>
          <w:iCs/>
        </w:rPr>
      </w:pPr>
      <w:r>
        <w:rPr>
          <w:rFonts w:eastAsiaTheme="majorEastAsia"/>
          <w:i/>
          <w:iCs/>
        </w:rPr>
        <w:t>Таблица 1. Приемлемые «зеленые» проекты</w:t>
      </w:r>
    </w:p>
    <w:tbl>
      <w:tblPr>
        <w:tblW w:w="10485" w:type="dxa"/>
        <w:tblLayout w:type="fixed"/>
        <w:tblLook w:val="04A0" w:firstRow="1" w:lastRow="0" w:firstColumn="1" w:lastColumn="0" w:noHBand="0" w:noVBand="1"/>
      </w:tblPr>
      <w:tblGrid>
        <w:gridCol w:w="2262"/>
        <w:gridCol w:w="8223"/>
      </w:tblGrid>
      <w:tr w:rsidR="00B25168" w14:paraId="617B7F2F" w14:textId="77777777">
        <w:trPr>
          <w:trHeight w:val="96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7F2D" w14:textId="77777777" w:rsidR="00B25168" w:rsidRDefault="0072302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Категории «зеленых» проектов</w:t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7F2E" w14:textId="77777777" w:rsidR="00B25168" w:rsidRDefault="00723021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Описание и критерии соответсвия</w:t>
            </w:r>
          </w:p>
        </w:tc>
      </w:tr>
      <w:tr w:rsidR="00B25168" w14:paraId="617B7F3B" w14:textId="77777777">
        <w:trPr>
          <w:trHeight w:val="178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30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Возобновляемая энергия</w:t>
            </w:r>
          </w:p>
          <w:p w14:paraId="617B7F31" w14:textId="77777777" w:rsidR="00B25168" w:rsidRDefault="00B25168">
            <w:pPr>
              <w:rPr>
                <w:color w:val="000000"/>
                <w:sz w:val="20"/>
                <w:szCs w:val="20"/>
              </w:rPr>
            </w:pPr>
          </w:p>
          <w:p w14:paraId="617B7F32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7FF8" wp14:editId="617B7FF9">
                  <wp:extent cx="360045" cy="360045"/>
                  <wp:effectExtent l="0" t="0" r="0" b="0"/>
                  <wp:docPr id="1" name="Рисунок 1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692" t="39705" r="87927" b="3937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7B7FFA" wp14:editId="617B7FFB">
                  <wp:extent cx="372110" cy="360045"/>
                  <wp:effectExtent l="0" t="0" r="0" b="0"/>
                  <wp:docPr id="2" name="Изображение2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Изображение2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34674" t="39672" r="53564" b="38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7B7FFC" wp14:editId="617B7FFD">
                  <wp:extent cx="335280" cy="360045"/>
                  <wp:effectExtent l="0" t="0" r="0" b="0"/>
                  <wp:docPr id="3" name="Изображение3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3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035" t="76437" r="88358" b="2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7B7F33" w14:textId="77777777" w:rsidR="00B25168" w:rsidRDefault="00B25168">
            <w:pPr>
              <w:rPr>
                <w:color w:val="000000"/>
                <w:sz w:val="20"/>
                <w:szCs w:val="20"/>
              </w:rPr>
            </w:pPr>
          </w:p>
          <w:p w14:paraId="617B7F34" w14:textId="77777777" w:rsidR="00B25168" w:rsidRDefault="00B25168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35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строительство, разработку, приобретение, обслуживание и эксплуатация возобновляемых источников энергии, в том числе:</w:t>
            </w:r>
          </w:p>
          <w:p w14:paraId="617B7F36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Ветряная энергия, солнечная энергия, при этом доля электроэнергии на объекте из невозобновляемых источников составляет не более 15%</w:t>
            </w:r>
          </w:p>
          <w:p w14:paraId="617B7F37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Геотермальная энергия, объекты генерации (электро- и теплоснабжения), где прямые выбросы составляют менее 100 г CO2/кВт-ч (</w:t>
            </w:r>
            <w:r>
              <w:rPr>
                <w:color w:val="000000"/>
                <w:sz w:val="20"/>
              </w:rPr>
              <w:t>в случаях использования электрических тепловых насосов – потенциал глобального потепления хладагента не превышает значения 700).</w:t>
            </w:r>
          </w:p>
          <w:p w14:paraId="617B7F38" w14:textId="48FE2998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>Гидроэнергетика, объекты, где</w:t>
            </w:r>
            <w:r w:rsidR="00797196" w:rsidRPr="00CE4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удельная мощность (отношение номинальной мощности объекта к площади поверхности водохранилища)</w:t>
            </w:r>
            <w:r w:rsidR="00862EF4" w:rsidRPr="00CE4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&gt;</w:t>
            </w:r>
            <w:r w:rsidR="00862EF4" w:rsidRPr="00CE4976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 xml:space="preserve">10 Bт/м2, либо объекты с прямыми выбросами в течение жизненного цикла менее: 100 гCO2e/кВт-ч </w:t>
            </w:r>
            <w:r>
              <w:rPr>
                <w:color w:val="000000" w:themeColor="text1"/>
                <w:sz w:val="20"/>
                <w:szCs w:val="20"/>
              </w:rPr>
              <w:t>- по объектам, введенным в эксплуатацию до 2020 года; 50 гCO2e/кВт-ч - по объектам введенные в эксплуатацию начиная с 2020 года</w:t>
            </w:r>
          </w:p>
          <w:p w14:paraId="617B7F39" w14:textId="5A14086F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color w:val="000000" w:themeColor="text1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Биоэнергия. Для получения энергии из отработанной биомассы выбросы ПГ в течение всего жизненного цикла должны быть как </w:t>
            </w:r>
            <w:r>
              <w:rPr>
                <w:color w:val="000000" w:themeColor="text1"/>
                <w:sz w:val="20"/>
                <w:szCs w:val="20"/>
              </w:rPr>
              <w:t xml:space="preserve">минимум на 80% </w:t>
            </w:r>
            <w:r>
              <w:rPr>
                <w:sz w:val="20"/>
                <w:szCs w:val="20"/>
              </w:rPr>
              <w:t xml:space="preserve">ниже базового уровня угля (т.е. выбросов от угольного производства электроэнергии или уровня международно-признанного компаратора ископаемого топлива); </w:t>
            </w:r>
            <w:r>
              <w:rPr>
                <w:color w:val="000000" w:themeColor="text1"/>
                <w:sz w:val="20"/>
                <w:szCs w:val="20"/>
              </w:rPr>
              <w:t>а биотопливо должно быть получено из сырья, образованного экологически устойчивыми методами, в соответствии с международно-признанными и национальными стандартами или схемами сертификации биотоплива/биосырья, такими как ISCC PLUS, Руководство и стандарт</w:t>
            </w:r>
            <w:r w:rsidR="00D805C0">
              <w:rPr>
                <w:color w:val="000000" w:themeColor="text1"/>
                <w:sz w:val="20"/>
                <w:szCs w:val="20"/>
              </w:rPr>
              <w:t>ы</w:t>
            </w:r>
            <w:r>
              <w:rPr>
                <w:color w:val="000000" w:themeColor="text1"/>
                <w:sz w:val="20"/>
                <w:szCs w:val="20"/>
              </w:rPr>
              <w:t xml:space="preserve"> оценки продовольственной безопасности Круглого стола по устойчивым биоматериалам (RSB Food Security Asessment Guidelines), «Лесной попечительский совет» (FSC), «Стандарт устойчивого сельского хозяйства» (SAS) и др.</w:t>
            </w:r>
          </w:p>
          <w:p w14:paraId="617B7F3A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Инфраструктура передачи и распределения энергии из возобновляемых источников предусматривает подключение объектов по производству энергии из возобновляемых источников, подпадающие под пороговый уровень низкоуглеродной энергии (100 гCO2e/кВт-ч).</w:t>
            </w:r>
          </w:p>
        </w:tc>
      </w:tr>
      <w:tr w:rsidR="00B25168" w14:paraId="617B7F42" w14:textId="77777777">
        <w:trPr>
          <w:trHeight w:val="227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3C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Энергоэффективность</w:t>
            </w:r>
          </w:p>
          <w:p w14:paraId="617B7F3D" w14:textId="77777777" w:rsidR="00B25168" w:rsidRDefault="00B25168">
            <w:pPr>
              <w:rPr>
                <w:color w:val="0070C0"/>
                <w:sz w:val="20"/>
                <w:szCs w:val="20"/>
              </w:rPr>
            </w:pPr>
          </w:p>
          <w:p w14:paraId="617B7F3E" w14:textId="77777777" w:rsidR="00B25168" w:rsidRDefault="00723021">
            <w:pPr>
              <w:rPr>
                <w:color w:val="0070C0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7FFE" wp14:editId="617B7FFF">
                  <wp:extent cx="372110" cy="360045"/>
                  <wp:effectExtent l="0" t="0" r="0" b="0"/>
                  <wp:docPr id="4" name="Изображение4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Изображение4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34674" t="39672" r="53564" b="38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0070C0"/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7B8000" wp14:editId="617B8001">
                  <wp:extent cx="335280" cy="360045"/>
                  <wp:effectExtent l="0" t="0" r="0" b="0"/>
                  <wp:docPr id="5" name="Изображение5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Изображение5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035" t="76437" r="88358" b="2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3F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рациональное потребление энергии и ресурсов, в том числе:</w:t>
            </w:r>
          </w:p>
          <w:p w14:paraId="617B7F40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Повышение рационального потребления энергии в различных секторах, например, реконструкция зданий, включающая энергосберегающую модернизацию систем отопления, холодильных установок, осветительного оборудования и т.д., которые предусматривают достижение как минимум 30% экономии энергии или 30% предотвращения/сокращения выбросов ПГ по сравнению с базовым уровнем. </w:t>
            </w:r>
          </w:p>
          <w:p w14:paraId="617B7F41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Рациональное потребление энергии в сетях передачи и распределения энергии, предусматривающее снижение потерь электроэнергии не менее 10% по сравнению с базовым уровнем.</w:t>
            </w:r>
          </w:p>
        </w:tc>
      </w:tr>
      <w:tr w:rsidR="00B25168" w14:paraId="617B7F4A" w14:textId="77777777">
        <w:trPr>
          <w:trHeight w:val="1020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43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Предотвращение загрязнения и контроль над ним</w:t>
            </w:r>
          </w:p>
          <w:p w14:paraId="617B7F44" w14:textId="77777777" w:rsidR="00B25168" w:rsidRDefault="00B25168">
            <w:pPr>
              <w:rPr>
                <w:sz w:val="20"/>
                <w:szCs w:val="20"/>
              </w:rPr>
            </w:pPr>
          </w:p>
          <w:p w14:paraId="617B7F45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02" wp14:editId="617B8003">
                  <wp:extent cx="351790" cy="360045"/>
                  <wp:effectExtent l="0" t="0" r="0" b="0"/>
                  <wp:docPr id="6" name="Изображение6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Изображение6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86153" t="39198" r="2466" b="38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46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Инвестиции в технологии и сопутствующие услуги для создания устойчивой окружающей среды путем снижения загрязнения окружающей среды, в том числе: </w:t>
            </w:r>
          </w:p>
          <w:p w14:paraId="617B7F47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Устранение или значительное смягчение последствий загрязнения окружающей среды в воде, воздухе и почве с помощью биологических, физических и химических методов.</w:t>
            </w:r>
          </w:p>
          <w:p w14:paraId="617B7F48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Предотвращение образования отходов, сокращение отходов, переработка отходов и использование энергии, эффективных с точки зрения выбросов отходов, для получения энергии.</w:t>
            </w:r>
          </w:p>
          <w:p w14:paraId="617B7F49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Для проектов по переработке отходов в энергию </w:t>
            </w:r>
            <w:r>
              <w:rPr>
                <w:sz w:val="20"/>
                <w:szCs w:val="20"/>
                <w:lang w:val="kk-KZ"/>
              </w:rPr>
              <w:t>эффективность</w:t>
            </w:r>
            <w:r>
              <w:rPr>
                <w:sz w:val="20"/>
                <w:szCs w:val="20"/>
              </w:rPr>
              <w:t xml:space="preserve"> завода будет &gt;25%, рекуперация шлака и извлечение металла из остаточной золы &gt;90%.</w:t>
            </w:r>
          </w:p>
        </w:tc>
      </w:tr>
      <w:tr w:rsidR="00B25168" w14:paraId="617B7F52" w14:textId="77777777">
        <w:trPr>
          <w:trHeight w:val="244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4B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Экологически устойчивое управление природными ресурсами и землепользование</w:t>
            </w:r>
          </w:p>
          <w:p w14:paraId="617B7F4C" w14:textId="77777777" w:rsidR="00B25168" w:rsidRDefault="00B25168">
            <w:pPr>
              <w:rPr>
                <w:sz w:val="20"/>
                <w:szCs w:val="20"/>
              </w:rPr>
            </w:pPr>
          </w:p>
          <w:p w14:paraId="617B7F4D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04" wp14:editId="617B8005">
                  <wp:extent cx="360045" cy="360045"/>
                  <wp:effectExtent l="0" t="0" r="0" b="0"/>
                  <wp:docPr id="7" name="Изображение7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Изображение7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34797" t="76448" r="53693" b="1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4E" w14:textId="77777777" w:rsidR="00B25168" w:rsidRDefault="00723021">
            <w:pPr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Инвестиции в экологические проекты в сфере сельского хозяйства и производства, управления природными ресурсами и землепользование, в том числе</w:t>
            </w:r>
            <w:r>
              <w:rPr>
                <w:sz w:val="20"/>
                <w:szCs w:val="20"/>
                <w:lang w:val="kk-KZ"/>
              </w:rPr>
              <w:t>:</w:t>
            </w:r>
            <w:r>
              <w:rPr>
                <w:sz w:val="20"/>
                <w:szCs w:val="20"/>
              </w:rPr>
              <w:t xml:space="preserve"> </w:t>
            </w:r>
          </w:p>
          <w:p w14:paraId="617B7F4F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Производство сельскохозяйственных, земледельческих и рыбных органических продуктов (включая строительство и эксплуатацию объектов), соответствующих стандартам чистого производства (целенаправленное сокращение выбросов метана, закиси азота и углекислого газа).</w:t>
            </w:r>
          </w:p>
          <w:p w14:paraId="617B7F50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</w:rPr>
              <w:t>Климатически умное сельское хозяйство (устойчивое управление пастбищами и животноводством),</w:t>
            </w:r>
            <w:r>
              <w:rPr>
                <w:sz w:val="20"/>
                <w:szCs w:val="20"/>
              </w:rPr>
              <w:t xml:space="preserve"> в том числе предусматривающее сокращение потребления свежей (природной) воды не ниже 30 %, вторичное использование воды, применение ВИЭ, минимальное снижение потребления энергии или выбросов парниковых газов не ниже 20 %.</w:t>
            </w:r>
          </w:p>
          <w:p w14:paraId="617B7F51" w14:textId="77777777" w:rsidR="00B25168" w:rsidRDefault="00723021">
            <w:pPr>
              <w:pStyle w:val="ad"/>
              <w:numPr>
                <w:ilvl w:val="0"/>
                <w:numId w:val="3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 устойчивое лесное хозяйство, включая лесонасаждение или лесовосстановление, сохранение или восстановление природных ландшафтов.</w:t>
            </w:r>
          </w:p>
        </w:tc>
      </w:tr>
      <w:tr w:rsidR="00B25168" w14:paraId="617B7F57" w14:textId="77777777">
        <w:trPr>
          <w:trHeight w:val="1056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53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Сохранение земного и водного биоразнообразия</w:t>
            </w:r>
          </w:p>
          <w:p w14:paraId="617B7F54" w14:textId="77777777" w:rsidR="00B25168" w:rsidRDefault="00B25168">
            <w:pPr>
              <w:rPr>
                <w:sz w:val="20"/>
                <w:szCs w:val="20"/>
              </w:rPr>
            </w:pPr>
          </w:p>
          <w:p w14:paraId="617B7F55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06" wp14:editId="617B8007">
                  <wp:extent cx="352425" cy="360045"/>
                  <wp:effectExtent l="0" t="0" r="0" b="0"/>
                  <wp:docPr id="8" name="Изображение8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Изображение8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7728" t="75974" r="70770" b="1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17B8008" wp14:editId="617B8009">
                  <wp:extent cx="360045" cy="360045"/>
                  <wp:effectExtent l="0" t="0" r="0" b="0"/>
                  <wp:docPr id="9" name="Изображение9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Изображение9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34797" t="76448" r="53693" b="189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004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56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проекты по сохранению биосферы посредством защиты и (или) восстановления деградированных экосистем, строительство и поддержание экологической функциональной зоны, такой как конкретная среда обитания диких животных, водно-болотные угодья, торфяники, пустыни.</w:t>
            </w:r>
          </w:p>
        </w:tc>
      </w:tr>
      <w:tr w:rsidR="00B25168" w14:paraId="617B7F5F" w14:textId="77777777">
        <w:trPr>
          <w:trHeight w:val="244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58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Экологически чистый транспорт</w:t>
            </w:r>
          </w:p>
          <w:p w14:paraId="617B7F59" w14:textId="77777777" w:rsidR="00B25168" w:rsidRDefault="00B25168">
            <w:pPr>
              <w:rPr>
                <w:sz w:val="20"/>
                <w:szCs w:val="20"/>
              </w:rPr>
            </w:pPr>
          </w:p>
          <w:p w14:paraId="617B7F5A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0A" wp14:editId="617B800B">
                  <wp:extent cx="363855" cy="360045"/>
                  <wp:effectExtent l="0" t="0" r="0" b="0"/>
                  <wp:docPr id="10" name="Изображение10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Изображение10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68821" t="39198" r="19414" b="38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5B" w14:textId="7FA66DB3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Инвестиции, связанные с разработкой, строительством, приобретением, эксплуатацией, техническим обслуживанием и модернизацией транспортных активов с нулевым и низким уровнем выбросов углерода: </w:t>
            </w:r>
            <w:r w:rsidR="00370A4E">
              <w:rPr>
                <w:sz w:val="20"/>
                <w:szCs w:val="20"/>
              </w:rPr>
              <w:t xml:space="preserve"> </w:t>
            </w:r>
          </w:p>
          <w:p w14:paraId="617B7F5C" w14:textId="77777777" w:rsidR="00B25168" w:rsidRDefault="00723021" w:rsidP="00CE4976">
            <w:pPr>
              <w:pStyle w:val="ad"/>
              <w:numPr>
                <w:ilvl w:val="0"/>
                <w:numId w:val="3"/>
              </w:numPr>
              <w:shd w:val="clear" w:color="auto" w:fill="FFFFFF" w:themeFill="background1"/>
              <w:ind w:left="527" w:hanging="3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Транспорт с нулевым выбросом углерода: инвестиции в пассажирские и грузовые транспортные средства с нулевым выбросом выхлопных газов, такие как электромобили, электропоезда.</w:t>
            </w:r>
          </w:p>
          <w:p w14:paraId="617B7F5D" w14:textId="4B3735E2" w:rsidR="00B25168" w:rsidRPr="00CE4976" w:rsidRDefault="00723021" w:rsidP="00CE4976">
            <w:pPr>
              <w:pStyle w:val="ad"/>
              <w:numPr>
                <w:ilvl w:val="0"/>
                <w:numId w:val="3"/>
              </w:numPr>
              <w:shd w:val="clear" w:color="auto" w:fill="FFFFFF" w:themeFill="background1"/>
              <w:ind w:left="527" w:hanging="357"/>
              <w:rPr>
                <w:sz w:val="20"/>
                <w:szCs w:val="20"/>
                <w:lang w:val="kk-KZ"/>
              </w:rPr>
            </w:pPr>
            <w:r w:rsidRPr="00CE4976">
              <w:rPr>
                <w:sz w:val="20"/>
                <w:szCs w:val="20"/>
                <w:lang w:val="kk-KZ"/>
              </w:rPr>
              <w:t>Низкоуглеродный транспорт, имеющий прямые выбросы</w:t>
            </w:r>
            <w:r w:rsidR="00103D87" w:rsidRPr="00CE4976">
              <w:rPr>
                <w:sz w:val="20"/>
                <w:szCs w:val="20"/>
                <w:lang w:val="kk-KZ"/>
              </w:rPr>
              <w:t xml:space="preserve">: </w:t>
            </w:r>
            <w:r w:rsidRPr="00CE4976">
              <w:rPr>
                <w:sz w:val="20"/>
                <w:szCs w:val="20"/>
                <w:lang w:val="kk-KZ"/>
              </w:rPr>
              <w:t xml:space="preserve"> </w:t>
            </w:r>
            <w:r w:rsidR="00103D87" w:rsidRPr="00CE4976">
              <w:rPr>
                <w:sz w:val="20"/>
                <w:szCs w:val="20"/>
                <w:lang w:val="kk-KZ"/>
              </w:rPr>
              <w:t xml:space="preserve">для общественного транспорта - </w:t>
            </w:r>
            <w:r w:rsidRPr="00CE4976">
              <w:rPr>
                <w:sz w:val="20"/>
                <w:szCs w:val="20"/>
                <w:lang w:val="kk-KZ"/>
              </w:rPr>
              <w:t xml:space="preserve">не более 50 граммов CO2е / </w:t>
            </w:r>
            <w:r w:rsidR="00923A11" w:rsidRPr="00CE4976">
              <w:rPr>
                <w:sz w:val="20"/>
                <w:szCs w:val="20"/>
                <w:lang w:val="kk-KZ"/>
              </w:rPr>
              <w:t xml:space="preserve">пассажир </w:t>
            </w:r>
            <w:r w:rsidRPr="00CE4976">
              <w:rPr>
                <w:sz w:val="20"/>
                <w:szCs w:val="20"/>
                <w:lang w:val="kk-KZ"/>
              </w:rPr>
              <w:t>* км</w:t>
            </w:r>
            <w:r w:rsidR="005020A9">
              <w:rPr>
                <w:sz w:val="20"/>
                <w:szCs w:val="20"/>
                <w:lang w:val="kk-KZ"/>
              </w:rPr>
              <w:t xml:space="preserve"> </w:t>
            </w:r>
            <w:r w:rsidR="004906B8" w:rsidRPr="00CE4976">
              <w:rPr>
                <w:sz w:val="20"/>
                <w:szCs w:val="20"/>
                <w:lang w:val="kk-KZ"/>
              </w:rPr>
              <w:t>и</w:t>
            </w:r>
            <w:r w:rsidR="00BE5D2A" w:rsidRPr="00CE4976">
              <w:rPr>
                <w:sz w:val="20"/>
                <w:szCs w:val="20"/>
                <w:lang w:val="kk-KZ"/>
              </w:rPr>
              <w:t xml:space="preserve"> </w:t>
            </w:r>
            <w:r w:rsidR="00103D87" w:rsidRPr="00CE4976">
              <w:rPr>
                <w:sz w:val="20"/>
                <w:szCs w:val="20"/>
                <w:lang w:val="kk-KZ"/>
              </w:rPr>
              <w:t xml:space="preserve">для легкового транспорта - </w:t>
            </w:r>
            <w:r w:rsidR="00BE5D2A" w:rsidRPr="00CE4976">
              <w:rPr>
                <w:sz w:val="20"/>
                <w:szCs w:val="20"/>
                <w:lang w:val="kk-KZ"/>
              </w:rPr>
              <w:t>не более 50 граммов CO2е / км</w:t>
            </w:r>
            <w:r w:rsidR="002917C2" w:rsidRPr="00CE4976">
              <w:rPr>
                <w:sz w:val="20"/>
                <w:szCs w:val="20"/>
                <w:lang w:val="kk-KZ"/>
              </w:rPr>
              <w:t xml:space="preserve"> </w:t>
            </w:r>
            <w:r w:rsidR="001272D4" w:rsidRPr="00CE4976">
              <w:rPr>
                <w:sz w:val="20"/>
                <w:szCs w:val="20"/>
                <w:lang w:val="kk-KZ"/>
              </w:rPr>
              <w:t>до 2027 г.</w:t>
            </w:r>
            <w:r w:rsidR="00200905" w:rsidRPr="00CE4976">
              <w:rPr>
                <w:sz w:val="20"/>
                <w:szCs w:val="20"/>
                <w:lang w:val="kk-KZ"/>
              </w:rPr>
              <w:t xml:space="preserve">; </w:t>
            </w:r>
            <w:r w:rsidR="004906B8" w:rsidRPr="00CE4976">
              <w:rPr>
                <w:sz w:val="20"/>
                <w:szCs w:val="20"/>
                <w:lang w:val="kk-KZ"/>
              </w:rPr>
              <w:t xml:space="preserve">с 2027 г. </w:t>
            </w:r>
            <w:r w:rsidR="00200905" w:rsidRPr="00CE4976">
              <w:rPr>
                <w:sz w:val="20"/>
                <w:szCs w:val="20"/>
                <w:lang w:val="kk-KZ"/>
              </w:rPr>
              <w:t>для общественного и легкового транспорта</w:t>
            </w:r>
            <w:r w:rsidR="004906B8" w:rsidRPr="00CE4976">
              <w:rPr>
                <w:sz w:val="20"/>
                <w:szCs w:val="20"/>
                <w:lang w:val="kk-KZ"/>
              </w:rPr>
              <w:t xml:space="preserve"> </w:t>
            </w:r>
            <w:r w:rsidR="002917C2" w:rsidRPr="00CE4976">
              <w:rPr>
                <w:sz w:val="20"/>
                <w:szCs w:val="20"/>
                <w:lang w:val="kk-KZ"/>
              </w:rPr>
              <w:t>– нулевые прямые выбросы</w:t>
            </w:r>
            <w:r w:rsidR="00BE5D2A" w:rsidRPr="00CE4976">
              <w:rPr>
                <w:sz w:val="20"/>
                <w:szCs w:val="20"/>
                <w:lang w:val="kk-KZ"/>
              </w:rPr>
              <w:t xml:space="preserve"> </w:t>
            </w:r>
            <w:r w:rsidRPr="00CE4976">
              <w:rPr>
                <w:sz w:val="20"/>
                <w:szCs w:val="20"/>
                <w:lang w:val="kk-KZ"/>
              </w:rPr>
              <w:t xml:space="preserve">или соответствие стандарту Euro V или VI, для железнодорожных </w:t>
            </w:r>
            <w:r w:rsidR="00724479" w:rsidRPr="00CE4976">
              <w:rPr>
                <w:sz w:val="20"/>
                <w:szCs w:val="20"/>
                <w:lang w:val="kk-KZ"/>
              </w:rPr>
              <w:t>грузо</w:t>
            </w:r>
            <w:r w:rsidRPr="00CE4976">
              <w:rPr>
                <w:sz w:val="20"/>
                <w:szCs w:val="20"/>
                <w:lang w:val="kk-KZ"/>
              </w:rPr>
              <w:t xml:space="preserve">перевозок – прямые выбросы 40 граммов CO2е / </w:t>
            </w:r>
            <w:r w:rsidR="002F105B" w:rsidRPr="00CE4976">
              <w:rPr>
                <w:sz w:val="20"/>
                <w:szCs w:val="20"/>
                <w:lang w:val="kk-KZ"/>
              </w:rPr>
              <w:t>тонна</w:t>
            </w:r>
            <w:r w:rsidR="00D831EE" w:rsidRPr="00CE4976">
              <w:rPr>
                <w:sz w:val="20"/>
                <w:szCs w:val="20"/>
                <w:lang w:val="kk-KZ"/>
              </w:rPr>
              <w:t xml:space="preserve"> </w:t>
            </w:r>
            <w:r w:rsidRPr="00CE4976">
              <w:rPr>
                <w:sz w:val="20"/>
                <w:szCs w:val="20"/>
                <w:lang w:val="kk-KZ"/>
              </w:rPr>
              <w:t>* км.</w:t>
            </w:r>
            <w:r w:rsidR="00A70750" w:rsidRPr="00CE4976">
              <w:rPr>
                <w:sz w:val="20"/>
                <w:szCs w:val="20"/>
                <w:lang w:val="kk-KZ"/>
              </w:rPr>
              <w:t xml:space="preserve"> до 2027 г., </w:t>
            </w:r>
            <w:r w:rsidR="00096FA9" w:rsidRPr="00CE4976">
              <w:rPr>
                <w:sz w:val="20"/>
                <w:szCs w:val="20"/>
                <w:lang w:val="kk-KZ"/>
              </w:rPr>
              <w:t>с 2027 - 25 граммов CO2е / тонна * км.</w:t>
            </w:r>
            <w:r w:rsidRPr="00CE4976">
              <w:rPr>
                <w:sz w:val="20"/>
                <w:szCs w:val="20"/>
                <w:lang w:val="kk-KZ"/>
              </w:rPr>
              <w:t xml:space="preserve">, при этом в составе грузов, перевозимых грузовым транспортом, не должно быть более 25% ископаемого топлива. </w:t>
            </w:r>
            <w:r w:rsidR="002F105B" w:rsidRPr="00CE4976">
              <w:rPr>
                <w:sz w:val="20"/>
                <w:szCs w:val="20"/>
                <w:lang w:val="kk-KZ"/>
              </w:rPr>
              <w:t xml:space="preserve">Для грузового автотранспорта - </w:t>
            </w:r>
            <w:r w:rsidRPr="00CE4976">
              <w:rPr>
                <w:sz w:val="20"/>
                <w:szCs w:val="20"/>
                <w:lang w:val="kk-KZ"/>
              </w:rPr>
              <w:t>25 г CO2-экв. на тонно-километр.</w:t>
            </w:r>
          </w:p>
          <w:p w14:paraId="617B7F5E" w14:textId="77777777" w:rsidR="00B25168" w:rsidRDefault="00723021" w:rsidP="00CE4976">
            <w:pPr>
              <w:pStyle w:val="ad"/>
              <w:numPr>
                <w:ilvl w:val="0"/>
                <w:numId w:val="3"/>
              </w:numPr>
              <w:shd w:val="clear" w:color="auto" w:fill="FFFFFF" w:themeFill="background1"/>
              <w:ind w:left="527" w:hanging="357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</w:rPr>
              <w:t>Инвестиции в инфраструктуру для поддержки использования транспортных средств с нулевым и низким уровнем выбросов углерода</w:t>
            </w:r>
          </w:p>
        </w:tc>
      </w:tr>
      <w:tr w:rsidR="00B25168" w14:paraId="617B7F6A" w14:textId="77777777">
        <w:trPr>
          <w:trHeight w:val="1853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60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Устойчивое управление водными ресурсами и сточными водами</w:t>
            </w:r>
          </w:p>
          <w:p w14:paraId="617B7F61" w14:textId="77777777" w:rsidR="00B25168" w:rsidRDefault="00B25168">
            <w:pPr>
              <w:rPr>
                <w:sz w:val="20"/>
                <w:szCs w:val="20"/>
              </w:rPr>
            </w:pPr>
          </w:p>
          <w:p w14:paraId="617B7F62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0C" wp14:editId="617B800D">
                  <wp:extent cx="368935" cy="360045"/>
                  <wp:effectExtent l="0" t="0" r="0" b="0"/>
                  <wp:docPr id="11" name="Изображение11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Изображение11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85772" t="1743" r="2483" b="7668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893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617B7F63" w14:textId="77777777" w:rsidR="00B25168" w:rsidRDefault="00B25168">
            <w:pPr>
              <w:rPr>
                <w:sz w:val="20"/>
                <w:szCs w:val="20"/>
              </w:rPr>
            </w:pP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64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эффективное управление водными ресурсами и сточными водами, создание инфраструктуры (включая устойчивую инфраструктуру для чистой и/или питьевой воды, очистку сточных вод, устойчивые городские системы дренажа и регулирование речного русла, и другие методы противопаводковой защиты), в том числе:</w:t>
            </w:r>
          </w:p>
          <w:p w14:paraId="617B7F65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color w:val="0070C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Производство, приобретение и установка технологий и систем водосбережения, хранения и распределения воды, способствующие </w:t>
            </w:r>
            <w:r>
              <w:rPr>
                <w:color w:val="000000"/>
                <w:sz w:val="20"/>
              </w:rPr>
              <w:t>сокращению потребления свежей (природной) воды не ниже 40 % на хозяйственно-питьевые нужды, 30 % на орошение и 70 % для производственных и технических нужд.</w:t>
            </w:r>
          </w:p>
          <w:p w14:paraId="617B7F66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Предотвращение и устранение последствий засухи, наводнений и селей, </w:t>
            </w:r>
            <w:r>
              <w:rPr>
                <w:sz w:val="20"/>
              </w:rPr>
              <w:t>разработка ирригационных систем для борьбы с засухой.</w:t>
            </w:r>
          </w:p>
          <w:p w14:paraId="617B7F67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Оборудование или инфраструктура для использования воды, системы очистки воды, опреснительные установки, при этом средняя интенсивность выбросов углерода в электроэнергии, используемой для опреснения, должна быть на уровне или ниже 100 гCO₂e на кВт·ч и обеспечено надлежащее управление утилизацией соли и забором воды.</w:t>
            </w:r>
          </w:p>
          <w:p w14:paraId="617B7F68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Установки по очистке сточных вод для дальнейшего вторичного использования.</w:t>
            </w:r>
          </w:p>
          <w:p w14:paraId="617B7F69" w14:textId="77777777" w:rsidR="00B25168" w:rsidRDefault="00723021">
            <w:pPr>
              <w:ind w:left="170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</w:rPr>
              <w:t>Вышеуказанные проекты должны демонстрировать чистое сокращение или нейтральное воздействие на выбросы парниковых газов (ПГ) в течение их жизненного цикла, включая минимизацию выбросов от использования энергии и декарбонизацию водной инфраструктуры.</w:t>
            </w:r>
          </w:p>
        </w:tc>
      </w:tr>
      <w:tr w:rsidR="00B25168" w14:paraId="617B7F7A" w14:textId="77777777">
        <w:trPr>
          <w:trHeight w:val="1144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6B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Адаптация к изменению климата</w:t>
            </w:r>
          </w:p>
          <w:p w14:paraId="617B7F6C" w14:textId="77777777" w:rsidR="00B25168" w:rsidRDefault="00B25168">
            <w:pPr>
              <w:rPr>
                <w:sz w:val="20"/>
                <w:szCs w:val="20"/>
              </w:rPr>
            </w:pPr>
          </w:p>
          <w:p w14:paraId="617B7F6D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0E" wp14:editId="617B800F">
                  <wp:extent cx="335280" cy="360045"/>
                  <wp:effectExtent l="0" t="0" r="0" b="0"/>
                  <wp:docPr id="12" name="Изображение12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Изображение12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1035" t="76437" r="88358" b="21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528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6E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Инвестиции, повышающие устойчивость активов к изменению климата в течение всего срока их службы, в том числе:</w:t>
            </w:r>
          </w:p>
          <w:p w14:paraId="617B7F6F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Улучшение ирригационной инфраструктуры (внедрение капельного орошения, хранение ливневых вод).</w:t>
            </w:r>
          </w:p>
          <w:p w14:paraId="617B7F70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Инфраструктура хранения зерна, устойчивая к климату инфраструктура животноводства. </w:t>
            </w:r>
          </w:p>
          <w:p w14:paraId="617B7F71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Дороги, устойчивые к воздействию изменения климата.</w:t>
            </w:r>
          </w:p>
          <w:p w14:paraId="617B7F72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Перемещение инфраструктуры, находящейся в зоне риска.</w:t>
            </w:r>
          </w:p>
          <w:p w14:paraId="617B7F73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Ведение сельского хозяйства с использованием климатически устойчивых культур</w:t>
            </w:r>
          </w:p>
          <w:p w14:paraId="617B7F74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по секторам, направленные на повышение устойчивости системы в целом к ​​изменению климата:</w:t>
            </w:r>
          </w:p>
          <w:p w14:paraId="617B7F75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Вода (экстремальные осадки, засуха): защита от наводнений, защита водно-болотных угодий, управление ливневыми водами, сбор дождевой воды, перемещение очистки сточных вод, усиленные системы распределения воды, опреснительные и т.д.</w:t>
            </w:r>
          </w:p>
          <w:p w14:paraId="617B7F76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(экстремальные осадки, экстремальные температуры): зеленые крыши и стены, сады для удержания воды, пористые покрытия и т. д.</w:t>
            </w:r>
          </w:p>
          <w:p w14:paraId="617B7F77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Лесное хозяйство (экстремальные температуры, пожароопасная погода): расчистка диких кустарников, диверсификация видов, переселение видов, более способных к выживанию, лесонасаждение и лесовосстановление, сохранение и пересадка мангровых лесов и т. д.</w:t>
            </w:r>
          </w:p>
          <w:p w14:paraId="617B7F78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Энергетика (ураганы/тайфуны/циклоны): устойчивость сети, резервное копирование и хранение и т. д.</w:t>
            </w:r>
          </w:p>
          <w:p w14:paraId="617B7F79" w14:textId="77777777" w:rsidR="00B25168" w:rsidRDefault="00723021">
            <w:pPr>
              <w:pStyle w:val="ad"/>
              <w:numPr>
                <w:ilvl w:val="0"/>
                <w:numId w:val="8"/>
              </w:numPr>
              <w:ind w:left="527" w:hanging="357"/>
              <w:rPr>
                <w:color w:val="00B050"/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Информационные и коммуникационные технологии</w:t>
            </w:r>
            <w:r>
              <w:rPr>
                <w:sz w:val="20"/>
                <w:szCs w:val="20"/>
              </w:rPr>
              <w:t xml:space="preserve"> (экстремальные осадки, экстремальные температуры, ураганы /тайфуны /циклоны): усиленные системы распределения данных, мониторинг климата и сбор данных, который применяется для информирования и повышения устойчивости сообщества, например систем раннего оповещения, переселения или социальных сетей и т. д.</w:t>
            </w:r>
          </w:p>
        </w:tc>
      </w:tr>
      <w:tr w:rsidR="00B25168" w14:paraId="617B7F7F" w14:textId="77777777">
        <w:trPr>
          <w:trHeight w:val="1995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7B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Продукты, производственные технологии и процессы, адаптированные к циркулярной экономике</w:t>
            </w:r>
          </w:p>
          <w:p w14:paraId="617B7F7C" w14:textId="77777777" w:rsidR="00B25168" w:rsidRDefault="00B25168">
            <w:pPr>
              <w:rPr>
                <w:sz w:val="20"/>
                <w:szCs w:val="20"/>
              </w:rPr>
            </w:pPr>
          </w:p>
          <w:p w14:paraId="617B7F7D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10" wp14:editId="617B8011">
                  <wp:extent cx="351790" cy="360045"/>
                  <wp:effectExtent l="0" t="0" r="0" b="0"/>
                  <wp:docPr id="13" name="Изображение13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Изображение13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86153" t="39198" r="2466" b="38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1790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7E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разработку, производство и внедрение экологически чистых, повторно используемых продуктов, технологий и услуг (включая, эко-маркировку, эко-упаковку, сертификацию и др.)</w:t>
            </w:r>
          </w:p>
        </w:tc>
      </w:tr>
      <w:tr w:rsidR="00B25168" w14:paraId="617B7F88" w14:textId="77777777">
        <w:trPr>
          <w:trHeight w:val="2448"/>
        </w:trPr>
        <w:tc>
          <w:tcPr>
            <w:tcW w:w="22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80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Зеленые здания</w:t>
            </w:r>
          </w:p>
          <w:p w14:paraId="617B7F81" w14:textId="77777777" w:rsidR="00B25168" w:rsidRDefault="00B25168">
            <w:pPr>
              <w:rPr>
                <w:sz w:val="20"/>
                <w:szCs w:val="20"/>
              </w:rPr>
            </w:pPr>
          </w:p>
          <w:p w14:paraId="617B7F82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17B8012" wp14:editId="617B8013">
                  <wp:extent cx="363855" cy="360045"/>
                  <wp:effectExtent l="0" t="0" r="0" b="0"/>
                  <wp:docPr id="14" name="Изображение14" descr="Изображение выглядит как текст, снимок экрана, логотип, Шрифт&#10;&#10;Контент, сгенерированный ИИ, может содержать ошибки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Изображение14" descr="Изображение выглядит как текст, снимок экрана, логотип, Шрифт&#10;&#10;Контент, сгенерированный ИИ, может содержать ошибки.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/>
                          <a:srcRect l="68821" t="39198" r="19414" b="3889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3855" cy="36004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83" w14:textId="77777777" w:rsidR="00B25168" w:rsidRDefault="0072302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Инвестиции в строительство экологичных и энергоэффективных зданий и отвечающие региональным, национальным или международно-признанным стандартам или сертификациям, модернизация существующих зданий, в том числе:</w:t>
            </w:r>
          </w:p>
          <w:p w14:paraId="617B7F84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Здания должны соответствовать или превышать целевые показатели интенсивности выбросов, основанные на 15% наиболее эффективных зданий в их городе и типологии.</w:t>
            </w:r>
          </w:p>
          <w:p w14:paraId="617B7F85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следующих рейтинговых оценок в области «зеленого» строительства: LEED, BREEAM, DGNB, OMIR (не ниже серебряного уровня) и(или) маркировки энергоэффективности (высокого класса энергоэффективности).</w:t>
            </w:r>
          </w:p>
          <w:p w14:paraId="617B7F86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потребления воды и/или электроэнергии не менее чем на 15% по сравнению с базовым уровнем.</w:t>
            </w:r>
          </w:p>
          <w:p w14:paraId="617B7F87" w14:textId="77777777" w:rsidR="00B25168" w:rsidRDefault="00723021">
            <w:pPr>
              <w:pStyle w:val="ad"/>
              <w:numPr>
                <w:ilvl w:val="0"/>
                <w:numId w:val="9"/>
              </w:numPr>
              <w:ind w:left="527" w:hanging="357"/>
              <w:rPr>
                <w:color w:val="0070C0"/>
                <w:sz w:val="20"/>
                <w:szCs w:val="20"/>
              </w:rPr>
            </w:pPr>
            <w:r>
              <w:rPr>
                <w:sz w:val="20"/>
              </w:rPr>
              <w:t xml:space="preserve">100 % утилизация отходов без нанесения </w:t>
            </w:r>
            <w:r>
              <w:rPr>
                <w:color w:val="000000"/>
                <w:sz w:val="20"/>
              </w:rPr>
              <w:t>ущерба экосистемам, повторное использование воды.</w:t>
            </w:r>
          </w:p>
        </w:tc>
      </w:tr>
    </w:tbl>
    <w:p w14:paraId="617B7F89" w14:textId="77777777" w:rsidR="00B25168" w:rsidRDefault="00723021">
      <w:pPr>
        <w:pStyle w:val="ad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ajorEastAsia"/>
        </w:rPr>
      </w:pPr>
      <w:r>
        <w:rPr>
          <w:rFonts w:eastAsiaTheme="majorEastAsia"/>
          <w:lang w:val="kk-KZ"/>
        </w:rPr>
        <w:t>Категории «</w:t>
      </w:r>
      <w:r>
        <w:rPr>
          <w:rFonts w:eastAsiaTheme="majorEastAsia"/>
        </w:rPr>
        <w:t xml:space="preserve">зеленых» проектов, отраженные в Таблице 1 не являются исчерпывающими и окончательными. </w:t>
      </w:r>
      <w:r>
        <w:rPr>
          <w:lang w:val="kk-KZ"/>
        </w:rPr>
        <w:t>При принятии решения о признании кредита «зеленым», при необходимости, Банк может учитывать ряд международных принципов и документов в области устойчивого развития:</w:t>
      </w:r>
    </w:p>
    <w:p w14:paraId="617B7F8A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Таксономия устойчивых видов экономической деятельности Европейской Комиссии (ЕС);</w:t>
      </w:r>
    </w:p>
    <w:p w14:paraId="617B7F8B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Таксономия климатических облигаций (Climate Bonds Standard),</w:t>
      </w:r>
    </w:p>
    <w:p w14:paraId="617B7F8C" w14:textId="77777777" w:rsidR="00B25168" w:rsidRDefault="00723021">
      <w:pPr>
        <w:tabs>
          <w:tab w:val="left" w:pos="284"/>
        </w:tabs>
        <w:contextualSpacing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ajorEastAsia"/>
        </w:rPr>
        <w:t xml:space="preserve">а также </w:t>
      </w:r>
      <w:r>
        <w:rPr>
          <w:rFonts w:eastAsiaTheme="minorHAnsi" w:cstheme="minorBidi"/>
          <w:szCs w:val="22"/>
          <w:lang w:val="kk-KZ" w:eastAsia="en-US"/>
        </w:rPr>
        <w:t>Классификацию (таксономию) «зеленых» проектов, подлежащих финансированию через «зеленые» облигации и «зеленые» кредиты, утвержденную Постановлением Правительства Республики Казахстан от 31 декабря 2021 года № 996.</w:t>
      </w:r>
    </w:p>
    <w:p w14:paraId="617B7F8D" w14:textId="77777777" w:rsidR="00B25168" w:rsidRDefault="00723021">
      <w:pPr>
        <w:pStyle w:val="2"/>
        <w:rPr>
          <w:rFonts w:eastAsiaTheme="minorHAnsi"/>
          <w:lang w:val="kk-KZ" w:eastAsia="en-US"/>
        </w:rPr>
      </w:pPr>
      <w:bookmarkStart w:id="40" w:name="_Toc199831603"/>
      <w:r>
        <w:rPr>
          <w:rFonts w:eastAsiaTheme="minorHAnsi"/>
          <w:lang w:val="kk-KZ" w:eastAsia="en-US"/>
        </w:rPr>
        <w:t>4.1. Exclusion list</w:t>
      </w:r>
      <w:bookmarkEnd w:id="40"/>
      <w:r>
        <w:rPr>
          <w:rFonts w:eastAsiaTheme="minorHAnsi"/>
          <w:lang w:val="kk-KZ" w:eastAsia="en-US"/>
        </w:rPr>
        <w:t xml:space="preserve"> </w:t>
      </w:r>
    </w:p>
    <w:p w14:paraId="617B7F8E" w14:textId="77777777" w:rsidR="00B25168" w:rsidRDefault="00723021">
      <w:pPr>
        <w:pStyle w:val="ad"/>
        <w:numPr>
          <w:ilvl w:val="0"/>
          <w:numId w:val="1"/>
        </w:numPr>
        <w:tabs>
          <w:tab w:val="left" w:pos="284"/>
          <w:tab w:val="left" w:pos="426"/>
        </w:tabs>
        <w:ind w:left="0" w:firstLine="0"/>
        <w:jc w:val="both"/>
        <w:rPr>
          <w:rFonts w:eastAsiaTheme="majorEastAsia"/>
          <w:color w:val="000000" w:themeColor="text1"/>
          <w:lang w:val="kk-KZ"/>
        </w:rPr>
      </w:pPr>
      <w:r>
        <w:rPr>
          <w:rFonts w:eastAsiaTheme="majorEastAsia"/>
          <w:lang w:val="kk-KZ"/>
        </w:rPr>
        <w:t xml:space="preserve">В </w:t>
      </w:r>
      <w:hyperlink r:id="rId18">
        <w:r>
          <w:rPr>
            <w:rFonts w:eastAsiaTheme="majorEastAsia"/>
            <w:lang w:val="kk-KZ"/>
          </w:rPr>
          <w:t>Политике управления экологическими и социальными рисками</w:t>
        </w:r>
      </w:hyperlink>
      <w:r>
        <w:rPr>
          <w:rFonts w:eastAsiaTheme="majorEastAsia"/>
          <w:lang w:val="kk-KZ"/>
        </w:rPr>
        <w:t xml:space="preserve"> Банк определил неприемлемые к финансированию виды деятельности и практики ведения бизнеса вне зависимости от источника финансирования. </w:t>
      </w:r>
      <w:r>
        <w:rPr>
          <w:rFonts w:eastAsiaTheme="majorEastAsia"/>
          <w:color w:val="000000" w:themeColor="text1"/>
          <w:lang w:val="kk-KZ"/>
        </w:rPr>
        <w:t xml:space="preserve">В рамках настоящей Политики Банк обязуется </w:t>
      </w:r>
      <w:r>
        <w:rPr>
          <w:rFonts w:eastAsiaTheme="majorEastAsia"/>
          <w:lang w:val="kk-KZ"/>
        </w:rPr>
        <w:t>дополнительно</w:t>
      </w:r>
      <w:r>
        <w:rPr>
          <w:rFonts w:eastAsiaTheme="majorEastAsia"/>
          <w:color w:val="000000" w:themeColor="text1"/>
          <w:lang w:val="kk-KZ"/>
        </w:rPr>
        <w:t xml:space="preserve"> исключить из финансирования в рамках инструментов «зеленого» финансирования следующие виды деятельности:</w:t>
      </w:r>
    </w:p>
    <w:p w14:paraId="617B7F8F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атомная энергия;</w:t>
      </w:r>
    </w:p>
    <w:p w14:paraId="617B7F90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lastRenderedPageBreak/>
        <w:t>игорный бизнес, производство табачных изделий, производство алкогольной продукции – вне зависимости от наличия соответствующих разрешений и лицензий, требуемых согласно законодательству Республики Казахстан;</w:t>
      </w:r>
    </w:p>
    <w:p w14:paraId="617B7F91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горнодобывающие проекты;</w:t>
      </w:r>
    </w:p>
    <w:p w14:paraId="617B7F92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проекты по производству одноразовых пластиковых изделий для потребительских целей (не для медицинских целей);  </w:t>
      </w:r>
    </w:p>
    <w:p w14:paraId="617B7F93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проекты, предусматривающие принудительное выселение;</w:t>
      </w:r>
    </w:p>
    <w:p w14:paraId="617B7F94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проекты по производству электроэнергии на основе ископаемого топлива (включая «чистые угольные проекты») или кредиты нефтяной или газовой промышленности, включая любые проекты по энергоэффективности, связанные непосредственно с добычей угля или нефти, транспортировкой или выработкой электроэнергии; </w:t>
      </w:r>
    </w:p>
    <w:p w14:paraId="617B7F95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поисково-разведочные работы на нефть, разработка нефтяных месторождений;   </w:t>
      </w:r>
    </w:p>
    <w:p w14:paraId="617B7F96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деятельность, связанная с насильственным кормлением уток и гусей;</w:t>
      </w:r>
    </w:p>
    <w:p w14:paraId="617B7F97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содержание животных с основной целью производства меха или любая деятельность, связанная с производством меха;</w:t>
      </w:r>
    </w:p>
    <w:p w14:paraId="617B7F98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производство, сбыт и использование асбестовых волокон, а также изделий и смесей с целенаправленным добавлением этих волокон;</w:t>
      </w:r>
    </w:p>
    <w:p w14:paraId="617B7F99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деятельность, запрещенная законодательством страны реализации проекта или международными конвенциями об охране биоразнообразия или культурного наследия;</w:t>
      </w:r>
    </w:p>
    <w:p w14:paraId="617B7F9A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ведение рыбного промысла в море дрифтерными сетями длиной свыше 2,5 км; </w:t>
      </w:r>
    </w:p>
    <w:p w14:paraId="617B7F9B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перевозка нефти или других опасных веществ танкерами.</w:t>
      </w:r>
    </w:p>
    <w:p w14:paraId="617B7F9C" w14:textId="77777777" w:rsidR="00B25168" w:rsidRDefault="00723021">
      <w:pPr>
        <w:pStyle w:val="1"/>
        <w:rPr>
          <w:color w:val="auto"/>
          <w:lang w:eastAsia="en-US"/>
        </w:rPr>
      </w:pPr>
      <w:bookmarkStart w:id="41" w:name="_Toc180407832"/>
      <w:bookmarkStart w:id="42" w:name="_Toc199831604"/>
      <w:r>
        <w:rPr>
          <w:color w:val="auto"/>
          <w:lang w:val="kk-KZ" w:eastAsia="en-US"/>
        </w:rPr>
        <w:t xml:space="preserve">Глава </w:t>
      </w:r>
      <w:r>
        <w:rPr>
          <w:color w:val="auto"/>
          <w:lang w:eastAsia="en-US"/>
        </w:rPr>
        <w:t>5. Оценка и отбор проектов</w:t>
      </w:r>
      <w:bookmarkEnd w:id="41"/>
      <w:bookmarkEnd w:id="42"/>
    </w:p>
    <w:p w14:paraId="617B7F9D" w14:textId="77777777" w:rsidR="00B25168" w:rsidRDefault="00723021">
      <w:pPr>
        <w:pStyle w:val="2"/>
        <w:rPr>
          <w:lang w:val="kk-KZ" w:eastAsia="en-US"/>
        </w:rPr>
      </w:pPr>
      <w:bookmarkStart w:id="43" w:name="_Toc199831605"/>
      <w:r>
        <w:rPr>
          <w:lang w:eastAsia="en-US"/>
        </w:rPr>
        <w:t>5.1. Устойчивое финансирование в Банке</w:t>
      </w:r>
      <w:bookmarkEnd w:id="43"/>
      <w:r>
        <w:rPr>
          <w:lang w:val="kk-KZ" w:eastAsia="en-US"/>
        </w:rPr>
        <w:t xml:space="preserve"> </w:t>
      </w:r>
    </w:p>
    <w:p w14:paraId="617B7F9E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Банк осуществляет кредитную деятельность в соответствии с шестью принципами ответственного инвестирования </w:t>
      </w:r>
      <w:r>
        <w:rPr>
          <w:rFonts w:eastAsiaTheme="minorHAnsi"/>
          <w:iCs/>
          <w:szCs w:val="22"/>
          <w:lang w:eastAsia="en-US"/>
        </w:rPr>
        <w:t>(Principles for Responsible Investment, PRI).</w:t>
      </w:r>
    </w:p>
    <w:p w14:paraId="617B7F9F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spacing w:after="160" w:line="259" w:lineRule="auto"/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Все потенциальные «зеленые» кредиты Банка проходят стандартный кредитный процесс</w:t>
      </w:r>
      <w:r>
        <w:rPr>
          <w:rFonts w:eastAsiaTheme="minorHAnsi"/>
          <w:iCs/>
          <w:color w:val="0070C0"/>
          <w:szCs w:val="22"/>
          <w:lang w:eastAsia="en-US"/>
        </w:rPr>
        <w:t xml:space="preserve">, </w:t>
      </w:r>
      <w:r>
        <w:rPr>
          <w:rFonts w:eastAsiaTheme="minorHAnsi"/>
          <w:iCs/>
          <w:szCs w:val="22"/>
          <w:lang w:eastAsia="en-US"/>
        </w:rPr>
        <w:t xml:space="preserve">предусмотренный Политикой кредитования и управления кредитными рисками Банка, в соответствии с которым осуществляется оценка кредитоспособности заемщика, соответствия проекта стратегии развития Банка, механизмов обеспечения возврата кредита (залоговое обеспечение, гарантии, поручительства), а также </w:t>
      </w:r>
      <w:r>
        <w:t xml:space="preserve">комплексная оценка </w:t>
      </w:r>
      <w:r>
        <w:rPr>
          <w:lang w:val="kk-KZ"/>
        </w:rPr>
        <w:t>климатических</w:t>
      </w:r>
      <w:r>
        <w:t xml:space="preserve">, экологических и социальных рисков, а также прочих </w:t>
      </w:r>
      <w:r>
        <w:rPr>
          <w:lang w:val="en-US"/>
        </w:rPr>
        <w:t>ESG</w:t>
      </w:r>
      <w:r>
        <w:t>-</w:t>
      </w:r>
      <w:r>
        <w:rPr>
          <w:lang w:val="kk-KZ"/>
        </w:rPr>
        <w:t>факторов.</w:t>
      </w:r>
    </w:p>
    <w:p w14:paraId="617B7FA0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="Calibri"/>
          <w:lang w:eastAsia="en-US"/>
        </w:rPr>
        <w:t xml:space="preserve">Комплексная оценка </w:t>
      </w:r>
      <w:r>
        <w:rPr>
          <w:rFonts w:eastAsia="Calibri"/>
          <w:lang w:val="kk-KZ" w:eastAsia="en-US"/>
        </w:rPr>
        <w:t>климатических</w:t>
      </w:r>
      <w:r>
        <w:rPr>
          <w:rFonts w:eastAsia="Calibri"/>
          <w:lang w:eastAsia="en-US"/>
        </w:rPr>
        <w:t xml:space="preserve">, экологических и социальных рисков, а также прочих </w:t>
      </w:r>
      <w:r>
        <w:rPr>
          <w:rFonts w:eastAsia="Calibri"/>
          <w:lang w:val="en-US" w:eastAsia="en-US"/>
        </w:rPr>
        <w:t>ESG</w:t>
      </w:r>
      <w:r>
        <w:rPr>
          <w:rFonts w:eastAsia="Calibri"/>
          <w:lang w:eastAsia="en-US"/>
        </w:rPr>
        <w:t>-</w:t>
      </w:r>
      <w:r>
        <w:rPr>
          <w:rFonts w:eastAsia="Calibri"/>
          <w:lang w:val="kk-KZ" w:eastAsia="en-US"/>
        </w:rPr>
        <w:t>факторов осуществляется на индивидуальной основе с учетом отраслевой принадлежности заемщика, и размеру его обязательств перед Банком и предусматривает:</w:t>
      </w:r>
    </w:p>
    <w:p w14:paraId="617B7FA1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>проверку на предмет соответствия деятельности заемщика и применяемых им практик списку неприемлемых видов деятельности, с отказом финансирования таких видов деятельности;</w:t>
      </w:r>
    </w:p>
    <w:p w14:paraId="617B7FA2" w14:textId="77777777" w:rsidR="00B25168" w:rsidRDefault="00723021">
      <w:pPr>
        <w:numPr>
          <w:ilvl w:val="0"/>
          <w:numId w:val="2"/>
        </w:numPr>
        <w:tabs>
          <w:tab w:val="left" w:pos="284"/>
          <w:tab w:val="left" w:pos="851"/>
        </w:tabs>
        <w:ind w:left="0" w:firstLine="567"/>
        <w:contextualSpacing/>
        <w:jc w:val="both"/>
        <w:rPr>
          <w:rFonts w:eastAsiaTheme="minorHAnsi" w:cstheme="minorBidi"/>
          <w:szCs w:val="22"/>
        </w:rPr>
      </w:pPr>
      <w:r>
        <w:rPr>
          <w:rFonts w:eastAsiaTheme="minorHAnsi" w:cstheme="minorBidi"/>
          <w:szCs w:val="22"/>
        </w:rPr>
        <w:t xml:space="preserve">оценку степени подверженности деятельности заемщика / проекта климатическим, экологическим и социальным рискам и другим ESG-факторам. Оценка осуществляется путем заполнения заемщиком опросника (анкеты), на основе выбранных ответов определяется уровень риска, соотносимый с одной из следующих категорий: низкий, пониженный, средний, повышенный, критичный. </w:t>
      </w:r>
    </w:p>
    <w:p w14:paraId="617B7FA3" w14:textId="77777777" w:rsidR="00B25168" w:rsidRDefault="00723021">
      <w:pPr>
        <w:tabs>
          <w:tab w:val="left" w:pos="207"/>
        </w:tabs>
        <w:ind w:firstLine="426"/>
        <w:jc w:val="both"/>
        <w:rPr>
          <w:rFonts w:eastAsiaTheme="minorHAnsi"/>
          <w:iCs/>
          <w:color w:val="0070C0"/>
          <w:szCs w:val="22"/>
          <w:lang w:val="kk-KZ" w:eastAsia="en-US"/>
        </w:rPr>
      </w:pPr>
      <w:r>
        <w:rPr>
          <w:lang w:val="kk-KZ"/>
        </w:rPr>
        <w:t>В случае выявления средних</w:t>
      </w:r>
      <w:r>
        <w:t>, повышенных</w:t>
      </w:r>
      <w:r>
        <w:rPr>
          <w:lang w:val="kk-KZ"/>
        </w:rPr>
        <w:t xml:space="preserve"> или высоких уровней экологических и социальных рисков в деятельности заемщика и/или при реализации проекта</w:t>
      </w:r>
      <w:r>
        <w:t>,</w:t>
      </w:r>
      <w:r>
        <w:rPr>
          <w:lang w:val="kk-KZ"/>
        </w:rPr>
        <w:t xml:space="preserve"> осуществляется разработка проектов условий или планов действий по их минимизации.</w:t>
      </w:r>
    </w:p>
    <w:p w14:paraId="617B7FA4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В Банке внедрена методология </w:t>
      </w:r>
      <w:r>
        <w:rPr>
          <w:rFonts w:eastAsiaTheme="minorHAnsi"/>
          <w:iCs/>
          <w:szCs w:val="22"/>
          <w:lang w:val="en-US" w:eastAsia="en-US"/>
        </w:rPr>
        <w:t>ESG</w:t>
      </w:r>
      <w:r>
        <w:rPr>
          <w:rFonts w:eastAsiaTheme="minorHAnsi"/>
          <w:iCs/>
          <w:szCs w:val="22"/>
          <w:lang w:eastAsia="en-US"/>
        </w:rPr>
        <w:t>-</w:t>
      </w:r>
      <w:r>
        <w:rPr>
          <w:rFonts w:eastAsiaTheme="minorHAnsi"/>
          <w:iCs/>
          <w:szCs w:val="22"/>
          <w:lang w:val="kk-KZ" w:eastAsia="en-US"/>
        </w:rPr>
        <w:t>сегментации кредитного портфеля</w:t>
      </w:r>
      <w:r>
        <w:rPr>
          <w:rFonts w:eastAsiaTheme="minorHAnsi"/>
          <w:iCs/>
          <w:szCs w:val="22"/>
          <w:lang w:eastAsia="en-US"/>
        </w:rPr>
        <w:t xml:space="preserve">, которая определяет подходы при оценке присущей подверженности отраслей Республики Казахстан климатическим, экологическим и социальным рискам, а также прочим ESG-факторам. Уровень подверженности отрасли рискам учитывается при </w:t>
      </w:r>
      <w:r>
        <w:t>определении внутренних лимитов экологических и социальных рисков для отраслей или секторов, наиболее подверженных угрозам окружающей среды / осуществляющих повышенное негативное воздействие на окружающую среду.</w:t>
      </w:r>
    </w:p>
    <w:p w14:paraId="617B7FA5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lastRenderedPageBreak/>
        <w:t xml:space="preserve">Комитеты, ответственные за принятие кредитных решений и автоматизированная система принятия решений, в рамках предоставленных Советом директоров лимитов полномочий, принимают решения по финансированию, с учетом результатов оценки соответствия заемщика ESG-принципам, в соответствии с пороговыми значениями материальности. </w:t>
      </w:r>
    </w:p>
    <w:p w14:paraId="617B7FA6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Обеспечение надзора за разработкой и реализацией климатической стратегии,  а также за учетом и оценкой климатических рисков и возможностей осуществляет Комитет по устойчивому развитию, являющийся консультационно-совещательным  органом Совета Директоров.</w:t>
      </w:r>
    </w:p>
    <w:p w14:paraId="617B7FA7" w14:textId="77777777" w:rsidR="00B25168" w:rsidRDefault="00723021">
      <w:pPr>
        <w:pStyle w:val="2"/>
        <w:rPr>
          <w:rFonts w:eastAsiaTheme="minorHAnsi"/>
          <w:lang w:val="kk-KZ" w:eastAsia="en-US"/>
        </w:rPr>
      </w:pPr>
      <w:bookmarkStart w:id="44" w:name="_Toc199831606"/>
      <w:r>
        <w:rPr>
          <w:rFonts w:eastAsiaTheme="minorHAnsi"/>
          <w:lang w:val="kk-KZ" w:eastAsia="en-US"/>
        </w:rPr>
        <w:t>5.2. Отбор приемлемых «зеленых» проектов</w:t>
      </w:r>
      <w:bookmarkEnd w:id="44"/>
    </w:p>
    <w:p w14:paraId="617B7FA8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Кредиты, предоставленные юридическим лицам, индивидуальным предпринимателям и физическим лицам для инвестиций на цели, соответсвующие критериям «зеленых» проектов, согласно пунктам 17 и 18 Политики подлежат маркировке признаком «зеленый» кредит в АБИС Банка. Условия и процесс маркировки, а также функции участников процесса регламентированы во ВНД Банка.</w:t>
      </w:r>
    </w:p>
    <w:p w14:paraId="617B7FA9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Эксперты подразделения по устойчивому развитию оценивают потенциально «зеленые» кредиты, их соответствие категориям «зеленых» проектов, представленным в Политике (согласно пунктам 17 и 18) и их экологические преимущества. Работники ЦКФ могут номинировать данные кредиты, как кредиты для финансирования или рефинансирования за счет выпуска «зеленых» облигаций.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eastAsiaTheme="minorHAnsi"/>
          <w:iCs/>
          <w:szCs w:val="22"/>
          <w:lang w:eastAsia="en-US"/>
        </w:rPr>
        <w:t xml:space="preserve">Приложение №1 к Политике содержит шаблон заявки на номинирование проекта для включения в перечень приемлемых «зелёных» проектов в рамках размещения «зелёных» облигаций. </w:t>
      </w:r>
    </w:p>
    <w:p w14:paraId="617B7FAA" w14:textId="77777777" w:rsidR="00B25168" w:rsidRDefault="00723021">
      <w:pPr>
        <w:pStyle w:val="ad"/>
        <w:numPr>
          <w:ilvl w:val="0"/>
          <w:numId w:val="1"/>
        </w:numPr>
        <w:tabs>
          <w:tab w:val="left" w:pos="426"/>
        </w:tabs>
        <w:ind w:left="0" w:firstLine="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Итоговое решение о финансировании или рефинансировании каждого проекта посредством выпуска «зеленых» облигаций, принимает уполномоченный коллегиальный орган, согласно лимиту полномочий по принятию решений, связанных с кредитным риском. Если кредиты не соответствуют критериям приемлимости уполномоченный коллегиальный орган принимает решение об исключении данных кредитов из реестра «зеленых» проектов, профинансированных за счет инструментов «зеленого» финансирования.</w:t>
      </w:r>
    </w:p>
    <w:p w14:paraId="617B7FAB" w14:textId="77777777" w:rsidR="00B25168" w:rsidRDefault="00723021">
      <w:pPr>
        <w:pStyle w:val="1"/>
        <w:rPr>
          <w:color w:val="auto"/>
          <w:lang w:eastAsia="en-US"/>
        </w:rPr>
      </w:pPr>
      <w:bookmarkStart w:id="45" w:name="_Toc139468101"/>
      <w:bookmarkStart w:id="46" w:name="_Toc139468244"/>
      <w:bookmarkStart w:id="47" w:name="_Toc140151317"/>
      <w:bookmarkStart w:id="48" w:name="_Toc140151454"/>
      <w:bookmarkStart w:id="49" w:name="_Toc140151883"/>
      <w:bookmarkStart w:id="50" w:name="_Toc140151907"/>
      <w:bookmarkStart w:id="51" w:name="_Toc140152158"/>
      <w:bookmarkStart w:id="52" w:name="_Toc149232899"/>
      <w:bookmarkStart w:id="53" w:name="_Toc180407833"/>
      <w:bookmarkStart w:id="54" w:name="_Toc199831607"/>
      <w:r>
        <w:rPr>
          <w:color w:val="auto"/>
          <w:lang w:eastAsia="en-US"/>
        </w:rPr>
        <w:t xml:space="preserve">Глава 6. </w:t>
      </w:r>
      <w:bookmarkEnd w:id="45"/>
      <w:bookmarkEnd w:id="46"/>
      <w:bookmarkEnd w:id="47"/>
      <w:bookmarkEnd w:id="48"/>
      <w:bookmarkEnd w:id="49"/>
      <w:bookmarkEnd w:id="50"/>
      <w:bookmarkEnd w:id="51"/>
      <w:bookmarkEnd w:id="52"/>
      <w:r>
        <w:rPr>
          <w:color w:val="auto"/>
          <w:lang w:eastAsia="en-US"/>
        </w:rPr>
        <w:t>Управление средствами</w:t>
      </w:r>
      <w:bookmarkEnd w:id="53"/>
      <w:bookmarkEnd w:id="54"/>
    </w:p>
    <w:p w14:paraId="617B7FAC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b/>
          <w:sz w:val="22"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Поступления от размещения «зеленых» облигаций должны быть сформированы в отдельный портфель для раздельного учета  и контроля учета полученных средств.</w:t>
      </w:r>
    </w:p>
    <w:p w14:paraId="617B7FAD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b/>
          <w:sz w:val="22"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Учет выданных кредитов или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</w:t>
      </w:r>
      <w:r>
        <w:rPr>
          <w:rFonts w:eastAsiaTheme="minorHAnsi"/>
          <w:iCs/>
          <w:szCs w:val="22"/>
          <w:lang w:val="kk-KZ" w:eastAsia="en-US"/>
        </w:rPr>
        <w:t>одобренных кредитных заявок, которые соответствуют категориям  «зеленых» проектов, указанных в настоящей Политике,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</w:t>
      </w:r>
      <w:r>
        <w:rPr>
          <w:rFonts w:eastAsiaTheme="minorHAnsi"/>
          <w:iCs/>
          <w:szCs w:val="22"/>
          <w:lang w:val="kk-KZ" w:eastAsia="en-US"/>
        </w:rPr>
        <w:t>и которые прошли процедуру оценки и отбора проектов (в том числе по рефинансируемым проектам) осуществляется на ежемесячной основе и включается в реестр «зеленых»  проектов Банка. После выпуска облигаций сумма, равная чистым поступлениям от таких транзакций, распределяется</w:t>
      </w:r>
      <w:r>
        <w:rPr>
          <w:rFonts w:eastAsiaTheme="minorHAnsi"/>
          <w:b/>
          <w:sz w:val="22"/>
          <w:szCs w:val="22"/>
          <w:lang w:val="kk-KZ" w:eastAsia="en-US"/>
        </w:rPr>
        <w:t xml:space="preserve"> </w:t>
      </w:r>
      <w:r>
        <w:rPr>
          <w:rFonts w:eastAsiaTheme="minorHAnsi"/>
          <w:iCs/>
          <w:szCs w:val="22"/>
          <w:lang w:val="kk-KZ" w:eastAsia="en-US"/>
        </w:rPr>
        <w:t xml:space="preserve">в этот внутренний реестр в порядке выдачи. </w:t>
      </w:r>
    </w:p>
    <w:p w14:paraId="617B7FAE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b/>
          <w:sz w:val="22"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Реестр «зеленых» проектов Банка должен содержать информацию об экологических характеристиках проекта, являющихся основанием соответствия критериям приемлимости.</w:t>
      </w:r>
    </w:p>
    <w:p w14:paraId="617B7FAF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lang w:eastAsia="en-US"/>
        </w:rPr>
        <w:t>Банк на периодической основе, в соответствии с ВНД Банка, осуществляет контроль за целевым использованием заемных средств по «зелёным» проектам</w:t>
      </w:r>
      <w:r>
        <w:rPr>
          <w:rFonts w:eastAsiaTheme="minorHAnsi"/>
          <w:iCs/>
          <w:szCs w:val="22"/>
          <w:lang w:val="kk-KZ" w:eastAsia="en-US"/>
        </w:rPr>
        <w:t xml:space="preserve">. Если по результатам контроля целевого использования средств Банк пришел к выводу о несоответствии целевому назначению, то проект исключается из реестра «зеленых» проектов. </w:t>
      </w:r>
    </w:p>
    <w:p w14:paraId="617B7FB0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Если по какой-либо причине совокупная сумма проектов, профинансированных или рефинансированных в рамках размещения «зеленых» облигаций, окажется меньше общей суммы  «зеленых» облигаций, находящихся в обращении, Банк будет управлять нераспределенной суммой в </w:t>
      </w:r>
      <w:bookmarkStart w:id="55" w:name="_Hlk165644102"/>
      <w:r>
        <w:rPr>
          <w:rFonts w:eastAsiaTheme="minorHAnsi"/>
          <w:iCs/>
          <w:szCs w:val="22"/>
          <w:lang w:val="kk-KZ" w:eastAsia="en-US"/>
        </w:rPr>
        <w:t>соответствии с Политикой управления ликвидностью Банка, путем инвестирования в портфель ликвидности казначейства, состоящий из краткосрочных и ликвидных инструментов</w:t>
      </w:r>
      <w:bookmarkEnd w:id="55"/>
      <w:r>
        <w:rPr>
          <w:rFonts w:eastAsiaTheme="minorHAnsi"/>
          <w:iCs/>
          <w:szCs w:val="22"/>
          <w:lang w:eastAsia="en-US"/>
        </w:rPr>
        <w:t>. При этом Банк реализует мероприятия по скорейшему направлению свободных средств от размещения зеленых финансовых инструментов на приемлемые проекты.</w:t>
      </w:r>
    </w:p>
    <w:p w14:paraId="617B7FB1" w14:textId="77777777" w:rsidR="00B25168" w:rsidRDefault="00723021">
      <w:pPr>
        <w:tabs>
          <w:tab w:val="left" w:pos="426"/>
        </w:tabs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       Банк обязуется не использовать нераспределенную сумму от выпуска «зеленых» облигаций для финансирования видов деятельности, указанных в параграфе 4.1. Политики.</w:t>
      </w:r>
    </w:p>
    <w:p w14:paraId="617B7FB2" w14:textId="77777777" w:rsidR="00B25168" w:rsidRDefault="00723021">
      <w:pPr>
        <w:tabs>
          <w:tab w:val="left" w:pos="426"/>
        </w:tabs>
        <w:jc w:val="both"/>
        <w:rPr>
          <w:rFonts w:eastAsiaTheme="minorHAnsi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Банк будет привлекать внешнего рецензента для проведения проверки управления средствами, с целью подтверждения того, что поступления от «зеленых» облигаций были распределены в приемлемые проекты. </w:t>
      </w:r>
    </w:p>
    <w:p w14:paraId="617B7FB3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lastRenderedPageBreak/>
        <w:t>Банк будет предпринимать все необходимые действия для распределения поступлений от размещения «зеленых» облигаций в качестве инвестиций в приемлемые проекты в течении 24 месяцев с поступления средств.</w:t>
      </w:r>
      <w:r>
        <w:t xml:space="preserve"> </w:t>
      </w:r>
    </w:p>
    <w:p w14:paraId="617B7FB4" w14:textId="77777777" w:rsidR="00B25168" w:rsidRDefault="00723021">
      <w:pPr>
        <w:pStyle w:val="1"/>
        <w:rPr>
          <w:color w:val="auto"/>
          <w:lang w:eastAsia="en-US"/>
        </w:rPr>
      </w:pPr>
      <w:bookmarkStart w:id="56" w:name="_Toc138339008"/>
      <w:bookmarkStart w:id="57" w:name="_Toc139468104"/>
      <w:bookmarkStart w:id="58" w:name="_Toc139468247"/>
      <w:bookmarkStart w:id="59" w:name="_Toc140151320"/>
      <w:bookmarkStart w:id="60" w:name="_Toc140151457"/>
      <w:bookmarkStart w:id="61" w:name="_Toc140151886"/>
      <w:bookmarkStart w:id="62" w:name="_Toc140151910"/>
      <w:bookmarkStart w:id="63" w:name="_Toc140152161"/>
      <w:bookmarkStart w:id="64" w:name="_Toc180407834"/>
      <w:bookmarkStart w:id="65" w:name="_Toc199831608"/>
      <w:r>
        <w:rPr>
          <w:color w:val="auto"/>
          <w:lang w:eastAsia="en-US"/>
        </w:rPr>
        <w:t xml:space="preserve">Глава 7. 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r>
        <w:rPr>
          <w:color w:val="auto"/>
          <w:lang w:eastAsia="en-US"/>
        </w:rPr>
        <w:t>Отчетность</w:t>
      </w:r>
      <w:bookmarkEnd w:id="64"/>
      <w:bookmarkEnd w:id="65"/>
    </w:p>
    <w:p w14:paraId="617B7FB5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Для обеспечения открытости и прозрачности об использовании поступлений от выпуска</w:t>
      </w:r>
      <w:r>
        <w:rPr>
          <w:rFonts w:eastAsiaTheme="minorHAnsi"/>
          <w:iCs/>
          <w:szCs w:val="22"/>
          <w:lang w:eastAsia="en-US"/>
        </w:rPr>
        <w:t xml:space="preserve"> «зеленых»</w:t>
      </w:r>
      <w:r>
        <w:rPr>
          <w:rFonts w:eastAsiaTheme="minorHAnsi"/>
          <w:iCs/>
          <w:szCs w:val="22"/>
          <w:lang w:val="kk-KZ" w:eastAsia="en-US"/>
        </w:rPr>
        <w:t xml:space="preserve"> облигаций, Банк будет осуществлять раскрытие следующей информации, посредством публикации ежегодного отчета на корпоративном сайте Банка:</w:t>
      </w:r>
    </w:p>
    <w:p w14:paraId="617B7FB6" w14:textId="77777777" w:rsidR="00B25168" w:rsidRDefault="00723021">
      <w:pPr>
        <w:pStyle w:val="ad"/>
        <w:numPr>
          <w:ilvl w:val="0"/>
          <w:numId w:val="5"/>
        </w:numPr>
        <w:ind w:left="851" w:hanging="284"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отчет о распределении средств;</w:t>
      </w:r>
    </w:p>
    <w:p w14:paraId="617B7FB7" w14:textId="77777777" w:rsidR="00B25168" w:rsidRDefault="00723021">
      <w:pPr>
        <w:pStyle w:val="ad"/>
        <w:numPr>
          <w:ilvl w:val="0"/>
          <w:numId w:val="5"/>
        </w:numPr>
        <w:ind w:left="851" w:hanging="284"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отчет о воздействии проектов на окружающую среду и общество.</w:t>
      </w:r>
    </w:p>
    <w:p w14:paraId="617B7FB8" w14:textId="77777777" w:rsidR="00B25168" w:rsidRDefault="00723021">
      <w:pPr>
        <w:pStyle w:val="ad"/>
        <w:ind w:left="0"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Раскрытие информации будет осуществляться на ежегодной основе.</w:t>
      </w:r>
    </w:p>
    <w:p w14:paraId="617B7FB9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Отчет о распределении средств предусматривает отражение следующей информации:</w:t>
      </w:r>
    </w:p>
    <w:p w14:paraId="617B7FBA" w14:textId="77777777" w:rsidR="00B25168" w:rsidRDefault="00723021">
      <w:pPr>
        <w:pStyle w:val="ad"/>
        <w:numPr>
          <w:ilvl w:val="0"/>
          <w:numId w:val="4"/>
        </w:numPr>
        <w:ind w:left="851" w:hanging="284"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чистые поступления</w:t>
      </w:r>
      <w:r>
        <w:rPr>
          <w:rFonts w:eastAsiaTheme="minorHAnsi" w:cstheme="minorBidi"/>
          <w:szCs w:val="22"/>
          <w:lang w:eastAsia="en-US"/>
        </w:rPr>
        <w:t>, полученные от выпущенных «зеленых» облигаций</w:t>
      </w:r>
      <w:r>
        <w:rPr>
          <w:rFonts w:eastAsiaTheme="minorHAnsi" w:cstheme="minorBidi"/>
          <w:szCs w:val="22"/>
          <w:lang w:val="kk-KZ" w:eastAsia="en-US"/>
        </w:rPr>
        <w:t>;</w:t>
      </w:r>
    </w:p>
    <w:p w14:paraId="617B7FBB" w14:textId="77777777" w:rsidR="00B25168" w:rsidRDefault="00723021">
      <w:pPr>
        <w:pStyle w:val="ad"/>
        <w:numPr>
          <w:ilvl w:val="0"/>
          <w:numId w:val="4"/>
        </w:numPr>
        <w:ind w:left="851" w:hanging="284"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сумма распределенных чистых поступлений от выпущенных «зеленых» облигаций, с разбивкой по категориям приемлемых проектов;</w:t>
      </w:r>
    </w:p>
    <w:p w14:paraId="617B7FBC" w14:textId="77777777" w:rsidR="00B25168" w:rsidRDefault="00723021">
      <w:pPr>
        <w:pStyle w:val="ad"/>
        <w:numPr>
          <w:ilvl w:val="0"/>
          <w:numId w:val="4"/>
        </w:numPr>
        <w:ind w:left="851" w:hanging="284"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распределение средств между рефинансированными приемлемыми проектами и новыми приемлемыми проектами, профинансированными после выпуска «зеленых» облигаций;</w:t>
      </w:r>
    </w:p>
    <w:p w14:paraId="617B7FBD" w14:textId="77777777" w:rsidR="00B25168" w:rsidRDefault="00723021">
      <w:pPr>
        <w:pStyle w:val="ad"/>
        <w:numPr>
          <w:ilvl w:val="0"/>
          <w:numId w:val="4"/>
        </w:numPr>
        <w:ind w:left="851" w:hanging="284"/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остаток нераспределенных поступлений от выпущенных «зеленых» облигаций на конец отчетного периода.</w:t>
      </w:r>
    </w:p>
    <w:p w14:paraId="617B7FBE" w14:textId="77777777" w:rsidR="00B25168" w:rsidRDefault="00723021">
      <w:pPr>
        <w:jc w:val="both"/>
        <w:rPr>
          <w:rFonts w:eastAsiaTheme="minorHAnsi" w:cstheme="minorBidi"/>
          <w:szCs w:val="22"/>
          <w:lang w:val="kk-KZ" w:eastAsia="en-US"/>
        </w:rPr>
      </w:pPr>
      <w:r>
        <w:rPr>
          <w:rFonts w:eastAsiaTheme="minorHAnsi" w:cstheme="minorBidi"/>
          <w:szCs w:val="22"/>
          <w:lang w:val="kk-KZ" w:eastAsia="en-US"/>
        </w:rPr>
        <w:t>Дополнительно к вышеуказанным данным, отчет о распределении средств предусматривает отражение подтверждения о том, что:</w:t>
      </w:r>
    </w:p>
    <w:p w14:paraId="617B7FBF" w14:textId="77777777" w:rsidR="00B25168" w:rsidRDefault="00723021">
      <w:pPr>
        <w:pStyle w:val="ad"/>
        <w:numPr>
          <w:ilvl w:val="0"/>
          <w:numId w:val="5"/>
        </w:numPr>
        <w:ind w:left="851" w:hanging="284"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реестр приемлемых проектов актуален;</w:t>
      </w:r>
    </w:p>
    <w:p w14:paraId="617B7FC0" w14:textId="77777777" w:rsidR="00B25168" w:rsidRDefault="00723021">
      <w:pPr>
        <w:pStyle w:val="ad"/>
        <w:numPr>
          <w:ilvl w:val="0"/>
          <w:numId w:val="5"/>
        </w:numPr>
        <w:ind w:left="851" w:hanging="284"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>Банк управлял денежными средствами в соответствии с обязательствами, изложенными выше;</w:t>
      </w:r>
    </w:p>
    <w:p w14:paraId="617B7FC1" w14:textId="77777777" w:rsidR="00B25168" w:rsidRDefault="00723021">
      <w:pPr>
        <w:pStyle w:val="ad"/>
        <w:numPr>
          <w:ilvl w:val="0"/>
          <w:numId w:val="5"/>
        </w:numPr>
        <w:ind w:left="0" w:firstLine="567"/>
        <w:jc w:val="both"/>
        <w:rPr>
          <w:rFonts w:eastAsiaTheme="minorHAnsi"/>
          <w:szCs w:val="22"/>
          <w:lang w:val="kk-KZ" w:eastAsia="en-US"/>
        </w:rPr>
      </w:pPr>
      <w:r>
        <w:rPr>
          <w:rFonts w:eastAsiaTheme="minorHAnsi"/>
          <w:szCs w:val="22"/>
          <w:lang w:val="kk-KZ" w:eastAsia="en-US"/>
        </w:rPr>
        <w:t xml:space="preserve">   поступления денежных средств от выпуска «зеленых» облигаций продолжают использоваться для проектов, соответствующих критериям, установленным в Политике, или перераспределены в другие приемлемые проекты.</w:t>
      </w:r>
    </w:p>
    <w:p w14:paraId="617B7FC2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Отчет о воздействии предусматривает отражение качественных и / или количественных (в случае, если это возможно) показателей эффективности об ожидаемом и / или уже имеющемся воздействии проектов на окружающую среду и общество. При формировании отчета, Банк учитывает основные принципы и рекомендации по отчетности</w:t>
      </w:r>
      <w:r>
        <w:rPr>
          <w:rFonts w:eastAsiaTheme="minorHAnsi"/>
          <w:iCs/>
          <w:szCs w:val="22"/>
          <w:lang w:eastAsia="en-US"/>
        </w:rPr>
        <w:t xml:space="preserve"> о воздействии «зеленых» проектов </w:t>
      </w:r>
      <w:r>
        <w:rPr>
          <w:rFonts w:eastAsiaTheme="minorHAnsi"/>
          <w:iCs/>
          <w:szCs w:val="22"/>
          <w:lang w:val="en-US" w:eastAsia="en-US"/>
        </w:rPr>
        <w:t>ICMA</w:t>
      </w:r>
      <w:r>
        <w:rPr>
          <w:rFonts w:eastAsiaTheme="minorHAnsi"/>
          <w:iCs/>
          <w:szCs w:val="22"/>
          <w:lang w:eastAsia="en-US"/>
        </w:rPr>
        <w:t xml:space="preserve"> (Harmonised Framework for Impact Reporting – Гармонизированная система отчетности о воздействии).</w:t>
      </w:r>
    </w:p>
    <w:p w14:paraId="617B7FC3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Банк может предоставлять информацию как в разрезе проектов, так и в обобщенном виде на основе совокупного портфеля по категории приемлемых проектов. Формат предоставления может быть смешанным и зависит от требований соглашений о конфиденциальности, </w:t>
      </w:r>
      <w:r>
        <w:rPr>
          <w:rFonts w:eastAsiaTheme="minorHAnsi"/>
          <w:iCs/>
          <w:szCs w:val="22"/>
          <w:lang w:eastAsia="en-US"/>
        </w:rPr>
        <w:t>причин, связанных с конкуренцией, доступности информации или большим количеством проектов.</w:t>
      </w:r>
    </w:p>
    <w:p w14:paraId="617B7FC4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В Таблице 2 примеры показателей потенциального воздействия в разрезе категорий «зеленых» проектов.</w:t>
      </w:r>
    </w:p>
    <w:p w14:paraId="617B7FC5" w14:textId="77777777" w:rsidR="00B25168" w:rsidRDefault="00723021">
      <w:pPr>
        <w:tabs>
          <w:tab w:val="left" w:pos="426"/>
        </w:tabs>
        <w:contextualSpacing/>
        <w:jc w:val="right"/>
        <w:rPr>
          <w:rFonts w:eastAsiaTheme="minorHAnsi"/>
          <w:i/>
          <w:szCs w:val="22"/>
          <w:lang w:val="kk-KZ" w:eastAsia="en-US"/>
        </w:rPr>
      </w:pPr>
      <w:r>
        <w:rPr>
          <w:rFonts w:eastAsiaTheme="minorHAnsi"/>
          <w:i/>
          <w:szCs w:val="22"/>
          <w:lang w:val="kk-KZ" w:eastAsia="en-US"/>
        </w:rPr>
        <w:t>Таблица 2. Примеры показателей потенциального воздействия</w:t>
      </w:r>
    </w:p>
    <w:tbl>
      <w:tblPr>
        <w:tblW w:w="10627" w:type="dxa"/>
        <w:tblLayout w:type="fixed"/>
        <w:tblLook w:val="04A0" w:firstRow="1" w:lastRow="0" w:firstColumn="1" w:lastColumn="0" w:noHBand="0" w:noVBand="1"/>
      </w:tblPr>
      <w:tblGrid>
        <w:gridCol w:w="3113"/>
        <w:gridCol w:w="7514"/>
      </w:tblGrid>
      <w:tr w:rsidR="00B25168" w14:paraId="617B7FC8" w14:textId="77777777">
        <w:trPr>
          <w:trHeight w:val="300"/>
        </w:trPr>
        <w:tc>
          <w:tcPr>
            <w:tcW w:w="31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7FC6" w14:textId="77777777" w:rsidR="00B25168" w:rsidRDefault="007230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Категории «зеленых» проектов</w:t>
            </w:r>
          </w:p>
        </w:tc>
        <w:tc>
          <w:tcPr>
            <w:tcW w:w="751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17B7FC7" w14:textId="77777777" w:rsidR="00B25168" w:rsidRDefault="00723021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Показатели потенциального воздействия</w:t>
            </w:r>
          </w:p>
        </w:tc>
      </w:tr>
      <w:tr w:rsidR="00B25168" w14:paraId="617B7FCB" w14:textId="77777777">
        <w:trPr>
          <w:trHeight w:val="138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C9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Возобновляемая энергия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CA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 Сокращение/избежание выбросов ПГ в тоннах CO2-эквивалента в год</w:t>
            </w:r>
            <w:r>
              <w:rPr>
                <w:color w:val="000000"/>
                <w:sz w:val="20"/>
                <w:szCs w:val="20"/>
              </w:rPr>
              <w:br/>
              <w:t xml:space="preserve">• Производство энергии из возобновляемых источников в МВт-ч/ГВт-ч </w:t>
            </w:r>
            <w:r>
              <w:rPr>
                <w:color w:val="000000"/>
                <w:sz w:val="20"/>
                <w:szCs w:val="20"/>
              </w:rPr>
              <w:br/>
              <w:t>(электроэнергия) и ГДж/ТДж (другие виды энергии) за год</w:t>
            </w:r>
            <w:r>
              <w:rPr>
                <w:color w:val="000000"/>
                <w:sz w:val="20"/>
                <w:szCs w:val="20"/>
              </w:rPr>
              <w:br/>
              <w:t xml:space="preserve">• Дополнительная мощность построенной или восстановленной станции (станций) по </w:t>
            </w:r>
            <w:r>
              <w:rPr>
                <w:color w:val="000000"/>
                <w:sz w:val="20"/>
                <w:szCs w:val="20"/>
              </w:rPr>
              <w:br/>
              <w:t>производству возобновляемой энергии в МВт</w:t>
            </w:r>
          </w:p>
        </w:tc>
      </w:tr>
      <w:tr w:rsidR="00B25168" w14:paraId="617B7FCE" w14:textId="77777777">
        <w:trPr>
          <w:trHeight w:val="30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CC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Энергоэффективность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CD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 Сокращение/избежание выбросов ПГ в тоннах CO2-эквивалента в год</w:t>
            </w:r>
          </w:p>
        </w:tc>
      </w:tr>
      <w:tr w:rsidR="00B25168" w14:paraId="617B7FD1" w14:textId="77777777">
        <w:trPr>
          <w:trHeight w:val="186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CF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Предотвращение загрязнения и контроль над ним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0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• Объем отходов, сокращенных, минимизированных, повторно использованных или </w:t>
            </w:r>
            <w:r>
              <w:rPr>
                <w:color w:val="000000"/>
                <w:sz w:val="20"/>
                <w:szCs w:val="20"/>
              </w:rPr>
              <w:br/>
              <w:t xml:space="preserve">переработанных до и после проекта в % от общего объема отходов и (или) в абсолютном </w:t>
            </w:r>
            <w:r>
              <w:rPr>
                <w:color w:val="000000"/>
                <w:sz w:val="20"/>
                <w:szCs w:val="20"/>
              </w:rPr>
              <w:br/>
              <w:t>количестве в тоннах в год.</w:t>
            </w:r>
            <w:r>
              <w:rPr>
                <w:color w:val="000000"/>
                <w:sz w:val="20"/>
                <w:szCs w:val="20"/>
              </w:rPr>
              <w:br/>
              <w:t xml:space="preserve">• Снижение уровня загрязнения воздуха: твердые частицы (ТЧ), оксиды серы (SOx), оксиды </w:t>
            </w:r>
            <w:r>
              <w:rPr>
                <w:color w:val="000000"/>
                <w:sz w:val="20"/>
                <w:szCs w:val="20"/>
              </w:rPr>
              <w:br/>
              <w:t>азота (NOx), угарный газ (CO) и неметановые летучие органические соединения (НМЛОС)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color w:val="000000"/>
                <w:sz w:val="20"/>
                <w:szCs w:val="20"/>
              </w:rPr>
              <w:lastRenderedPageBreak/>
              <w:t>• Снижение местных загрязнителей воздуха, земли и воды в абсолютном или % выражении в год</w:t>
            </w:r>
          </w:p>
        </w:tc>
      </w:tr>
      <w:tr w:rsidR="00B25168" w14:paraId="617B7FD4" w14:textId="77777777">
        <w:trPr>
          <w:trHeight w:val="1425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2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Экологически устойчивое управление природными ресурсами и землепользование</w:t>
            </w:r>
          </w:p>
        </w:tc>
        <w:tc>
          <w:tcPr>
            <w:tcW w:w="751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3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 Сокращение/избежание выбросов ПГ в тоннах CO2-эквивалента в год / или энергоемкости (например, ГДж/единица продукции)</w:t>
            </w:r>
            <w:r>
              <w:rPr>
                <w:color w:val="000000"/>
                <w:sz w:val="20"/>
                <w:szCs w:val="20"/>
              </w:rPr>
              <w:br/>
              <w:t>• Экономия воды (м3/год)</w:t>
            </w:r>
            <w:r>
              <w:rPr>
                <w:color w:val="000000"/>
                <w:sz w:val="20"/>
                <w:szCs w:val="20"/>
              </w:rPr>
              <w:br/>
              <w:t>• Площадь созданных или восстановленных лесонасаждений / природных ландшафтов / деградированных биосистем</w:t>
            </w:r>
          </w:p>
        </w:tc>
      </w:tr>
      <w:tr w:rsidR="00B25168" w14:paraId="617B7FD7" w14:textId="77777777">
        <w:trPr>
          <w:trHeight w:val="60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5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Сохранение земного и водного биоразнообразия</w:t>
            </w:r>
          </w:p>
        </w:tc>
        <w:tc>
          <w:tcPr>
            <w:tcW w:w="7513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B7FD6" w14:textId="77777777" w:rsidR="00B25168" w:rsidRDefault="00B25168">
            <w:pPr>
              <w:rPr>
                <w:color w:val="000000"/>
                <w:sz w:val="20"/>
                <w:szCs w:val="20"/>
              </w:rPr>
            </w:pPr>
          </w:p>
        </w:tc>
      </w:tr>
      <w:tr w:rsidR="00B25168" w14:paraId="617B7FDA" w14:textId="77777777">
        <w:trPr>
          <w:trHeight w:val="93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8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Экологически чистый транспорт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9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 Сокращение/избежание выбросов ПГ в тоннах CO2-эквивалента в год</w:t>
            </w:r>
            <w:r>
              <w:rPr>
                <w:color w:val="000000"/>
                <w:sz w:val="20"/>
                <w:szCs w:val="20"/>
              </w:rPr>
              <w:br/>
              <w:t xml:space="preserve">• Снижение уровня загрязнения воздуха: твердые частицы (ТЧ), оксиды серы (SOx), оксиды </w:t>
            </w:r>
            <w:r>
              <w:rPr>
                <w:color w:val="000000"/>
                <w:sz w:val="20"/>
                <w:szCs w:val="20"/>
              </w:rPr>
              <w:br/>
              <w:t>азота (NOx), угарный газ (CO) и неметановые летучие органические соединения (НМЛОС)</w:t>
            </w:r>
          </w:p>
        </w:tc>
      </w:tr>
      <w:tr w:rsidR="00B25168" w14:paraId="617B7FDD" w14:textId="77777777">
        <w:trPr>
          <w:trHeight w:val="1275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B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Устойчивое управление водными ресурсами и сточными водами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C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• Динамика (валового) водопотребление до и после реализации проекта в м3/год, </w:t>
            </w:r>
            <w:r>
              <w:rPr>
                <w:color w:val="000000"/>
                <w:sz w:val="20"/>
                <w:szCs w:val="20"/>
              </w:rPr>
              <w:br/>
              <w:t>снижение водопотребления в %</w:t>
            </w:r>
            <w:r>
              <w:rPr>
                <w:color w:val="000000"/>
                <w:sz w:val="20"/>
                <w:szCs w:val="20"/>
              </w:rPr>
              <w:br/>
              <w:t xml:space="preserve">• Валовый объем сточных вод, очищенных, повторно использованных или </w:t>
            </w:r>
            <w:r>
              <w:rPr>
                <w:color w:val="000000"/>
                <w:sz w:val="20"/>
                <w:szCs w:val="20"/>
              </w:rPr>
              <w:br/>
              <w:t>предотвращенных до и после реализации проекта в м3 и в % в год</w:t>
            </w:r>
          </w:p>
        </w:tc>
      </w:tr>
      <w:tr w:rsidR="00B25168" w14:paraId="617B7FE0" w14:textId="77777777">
        <w:trPr>
          <w:trHeight w:val="102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E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Адаптация к изменению климата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DF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• Доля возобновляемых источников энергии в энергобалансе</w:t>
            </w:r>
            <w:r>
              <w:rPr>
                <w:color w:val="000000"/>
                <w:sz w:val="20"/>
                <w:szCs w:val="20"/>
              </w:rPr>
              <w:br/>
              <w:t xml:space="preserve">• Сокращение/избежание потерь воды (в водохранилищах/водоводах/природных средах </w:t>
            </w:r>
            <w:r>
              <w:rPr>
                <w:color w:val="000000"/>
                <w:sz w:val="20"/>
                <w:szCs w:val="20"/>
              </w:rPr>
              <w:br/>
              <w:t>обитания и т.д.) в м3</w:t>
            </w:r>
            <w:r>
              <w:rPr>
                <w:color w:val="000000"/>
                <w:sz w:val="20"/>
                <w:szCs w:val="20"/>
              </w:rPr>
              <w:br/>
              <w:t>• Площадь сельскохозяйственных угодий, на которых внедрены засухоустойчивые сорта культур</w:t>
            </w:r>
          </w:p>
        </w:tc>
      </w:tr>
      <w:tr w:rsidR="00B25168" w14:paraId="617B7FE3" w14:textId="77777777">
        <w:trPr>
          <w:trHeight w:val="102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E1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Продукты, производственные технологии и процессы, адаптированные к циркулярной экономике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E2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• Увеличение в % материалов, компонентов и продуктов, пригодных для повторного </w:t>
            </w:r>
            <w:r>
              <w:rPr>
                <w:color w:val="000000"/>
                <w:sz w:val="20"/>
                <w:szCs w:val="20"/>
              </w:rPr>
              <w:br/>
              <w:t>использования или переработки и и (или) в абсолютном объеме в тоннах в год.</w:t>
            </w:r>
            <w:r>
              <w:rPr>
                <w:color w:val="000000"/>
                <w:sz w:val="20"/>
                <w:szCs w:val="20"/>
              </w:rPr>
              <w:br/>
              <w:t xml:space="preserve">• % и (или) абсолютное количество в тоннах в год первичного сырья, которое заменяется </w:t>
            </w:r>
            <w:r>
              <w:rPr>
                <w:color w:val="000000"/>
                <w:sz w:val="20"/>
                <w:szCs w:val="20"/>
              </w:rPr>
              <w:br/>
              <w:t>вторичным сырьем и побочными продуктами производственных процессов</w:t>
            </w:r>
          </w:p>
        </w:tc>
      </w:tr>
      <w:tr w:rsidR="00B25168" w14:paraId="617B7FE6" w14:textId="77777777">
        <w:trPr>
          <w:trHeight w:val="1020"/>
        </w:trPr>
        <w:tc>
          <w:tcPr>
            <w:tcW w:w="31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E4" w14:textId="77777777" w:rsidR="00B25168" w:rsidRDefault="00723021">
            <w:pPr>
              <w:ind w:firstLine="20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Зеленые здания</w:t>
            </w:r>
          </w:p>
        </w:tc>
        <w:tc>
          <w:tcPr>
            <w:tcW w:w="751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7B7FE5" w14:textId="77777777" w:rsidR="00B25168" w:rsidRDefault="00723021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• Экологическая сертификация или EPC </w:t>
            </w:r>
            <w:r>
              <w:rPr>
                <w:color w:val="000000"/>
                <w:sz w:val="20"/>
                <w:szCs w:val="20"/>
              </w:rPr>
              <w:br/>
              <w:t>• Сокращение потребления энергии (МВт·ч) в год</w:t>
            </w:r>
            <w:r>
              <w:rPr>
                <w:color w:val="000000"/>
                <w:sz w:val="20"/>
                <w:szCs w:val="20"/>
              </w:rPr>
              <w:br/>
              <w:t>• Сокращение водопотребление до и после реализации проекта в м3/год, снижение водопотребления в %</w:t>
            </w:r>
            <w:r>
              <w:rPr>
                <w:color w:val="000000"/>
                <w:sz w:val="20"/>
                <w:szCs w:val="20"/>
              </w:rPr>
              <w:br/>
              <w:t>• Количество установленных зарядных устройств, мощность установок возобновляемой энергии</w:t>
            </w:r>
          </w:p>
        </w:tc>
      </w:tr>
    </w:tbl>
    <w:p w14:paraId="617B7FE7" w14:textId="77777777" w:rsidR="00B25168" w:rsidRDefault="00723021">
      <w:pPr>
        <w:pStyle w:val="1"/>
        <w:rPr>
          <w:color w:val="auto"/>
          <w:lang w:eastAsia="en-US"/>
        </w:rPr>
      </w:pPr>
      <w:bookmarkStart w:id="66" w:name="_Toc180407835"/>
      <w:bookmarkStart w:id="67" w:name="_Toc199831609"/>
      <w:r>
        <w:rPr>
          <w:color w:val="auto"/>
          <w:lang w:eastAsia="en-US"/>
        </w:rPr>
        <w:t>Глава 8. Внешняя оценка</w:t>
      </w:r>
      <w:bookmarkEnd w:id="66"/>
      <w:bookmarkEnd w:id="67"/>
    </w:p>
    <w:p w14:paraId="617B7FE8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Проведение независимой оценки:</w:t>
      </w:r>
    </w:p>
    <w:p w14:paraId="617B7FE9" w14:textId="77777777" w:rsidR="00B25168" w:rsidRDefault="00723021">
      <w:pPr>
        <w:pStyle w:val="ad"/>
        <w:numPr>
          <w:ilvl w:val="0"/>
          <w:numId w:val="11"/>
        </w:numPr>
        <w:tabs>
          <w:tab w:val="left" w:pos="426"/>
        </w:tabs>
        <w:ind w:left="0" w:firstLine="36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До выпуска «зеленых» облигаций, в формате мнения второй стороны (</w:t>
      </w:r>
      <w:r>
        <w:rPr>
          <w:rFonts w:eastAsiaTheme="minorHAnsi"/>
          <w:iCs/>
          <w:szCs w:val="22"/>
          <w:lang w:val="en-US" w:eastAsia="en-US"/>
        </w:rPr>
        <w:t>SPO</w:t>
      </w:r>
      <w:r>
        <w:rPr>
          <w:rFonts w:eastAsiaTheme="minorHAnsi"/>
          <w:iCs/>
          <w:szCs w:val="22"/>
          <w:lang w:eastAsia="en-US"/>
        </w:rPr>
        <w:t>)</w:t>
      </w:r>
      <w:r>
        <w:rPr>
          <w:rFonts w:eastAsiaTheme="minorHAnsi"/>
          <w:iCs/>
          <w:szCs w:val="22"/>
          <w:lang w:val="kk-KZ" w:eastAsia="en-US"/>
        </w:rPr>
        <w:t xml:space="preserve">: Банк привлечет внешнего рецензента для проведения независимой оценки настоящей Политики для подтверждения ее соответствия </w:t>
      </w:r>
      <w:r>
        <w:rPr>
          <w:rFonts w:eastAsiaTheme="minorHAnsi"/>
          <w:iCs/>
          <w:szCs w:val="22"/>
          <w:lang w:val="en-US" w:eastAsia="en-US"/>
        </w:rPr>
        <w:t>GBP</w:t>
      </w:r>
      <w:r>
        <w:rPr>
          <w:rFonts w:eastAsiaTheme="minorHAnsi"/>
          <w:iCs/>
          <w:szCs w:val="22"/>
          <w:lang w:eastAsia="en-US"/>
        </w:rPr>
        <w:t xml:space="preserve"> </w:t>
      </w:r>
      <w:r>
        <w:rPr>
          <w:rFonts w:eastAsiaTheme="minorHAnsi"/>
          <w:iCs/>
          <w:szCs w:val="22"/>
          <w:lang w:val="kk-KZ" w:eastAsia="en-US"/>
        </w:rPr>
        <w:t>ICMA. Банк будет регулярно пересматривать Политику, включая ее соответствие обновленным версиям вышеуказанных принципов по мере их выпуска, с целью соблюдения передовой практики и</w:t>
      </w:r>
      <w:r>
        <w:rPr>
          <w:rFonts w:eastAsiaTheme="minorHAnsi"/>
          <w:iCs/>
          <w:szCs w:val="22"/>
          <w:lang w:eastAsia="en-US"/>
        </w:rPr>
        <w:t>, при необходимости, вносить изменения и дополнения в нее.</w:t>
      </w:r>
    </w:p>
    <w:p w14:paraId="617B7FEA" w14:textId="77777777" w:rsidR="00B25168" w:rsidRDefault="00723021">
      <w:pPr>
        <w:pStyle w:val="ad"/>
        <w:numPr>
          <w:ilvl w:val="0"/>
          <w:numId w:val="11"/>
        </w:numPr>
        <w:tabs>
          <w:tab w:val="left" w:pos="426"/>
        </w:tabs>
        <w:ind w:left="0" w:firstLine="360"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 xml:space="preserve">После выпуска «зеленых» облигаций: Банк намерен проводить «проверку соответствия» в течение 1 года с момента выпуска «зеленых» облигаций и ежегодно после этого, до полного распределения любых поступлений от «зеленых» облигаций, с целью подтверждения того, что поступления от «зеленых» облигаций были распределены в приемлемые проекты, согласно Политике. Ежегодные отчеты, публикуемые Банком, вместе с отчетом о внешнем заверении будут опубликованы на веб-сайте Банка. </w:t>
      </w:r>
    </w:p>
    <w:p w14:paraId="617B7FEB" w14:textId="77777777" w:rsidR="00B25168" w:rsidRDefault="00723021">
      <w:pPr>
        <w:pStyle w:val="1"/>
        <w:rPr>
          <w:color w:val="auto"/>
          <w:lang w:eastAsia="en-US"/>
        </w:rPr>
      </w:pPr>
      <w:bookmarkStart w:id="68" w:name="_Toc138339009"/>
      <w:bookmarkStart w:id="69" w:name="_Toc139468105"/>
      <w:bookmarkStart w:id="70" w:name="_Toc139468248"/>
      <w:bookmarkStart w:id="71" w:name="_Toc140151321"/>
      <w:bookmarkStart w:id="72" w:name="_Toc140151458"/>
      <w:bookmarkStart w:id="73" w:name="_Toc140151887"/>
      <w:bookmarkStart w:id="74" w:name="_Toc140151911"/>
      <w:bookmarkStart w:id="75" w:name="_Toc140152162"/>
      <w:bookmarkStart w:id="76" w:name="_Toc149232902"/>
      <w:bookmarkStart w:id="77" w:name="_Toc180407836"/>
      <w:bookmarkStart w:id="78" w:name="_Toc199831610"/>
      <w:r>
        <w:rPr>
          <w:color w:val="auto"/>
          <w:lang w:eastAsia="en-US"/>
        </w:rPr>
        <w:lastRenderedPageBreak/>
        <w:t>Глава 9. Заключительные положения</w:t>
      </w:r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</w:p>
    <w:p w14:paraId="617B7FEC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iCs/>
          <w:szCs w:val="22"/>
          <w:lang w:val="kk-KZ" w:eastAsia="en-US"/>
        </w:rPr>
        <w:t>Ответственность за неисполнение/ненадлежащие исполнение положений Политики при подготовке и утверждении внутренних нормативных документов, разработке и внедрении бизнес-процессов, обмене информацией и других типов коммуникации, при планировании и осуществлении деятельности, регулируемой настоящей Политикой несут работники Банка, задействанные в регулируемом Политикой направлении деятельности.</w:t>
      </w:r>
    </w:p>
    <w:p w14:paraId="617B7FED" w14:textId="77777777" w:rsidR="00B25168" w:rsidRDefault="00723021">
      <w:pPr>
        <w:numPr>
          <w:ilvl w:val="0"/>
          <w:numId w:val="1"/>
        </w:numPr>
        <w:tabs>
          <w:tab w:val="left" w:pos="284"/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rPr>
          <w:rFonts w:eastAsiaTheme="minorHAnsi"/>
          <w:lang w:val="kk-KZ" w:eastAsia="en-US"/>
        </w:rPr>
        <w:t xml:space="preserve">Определение вида дисциплинарного взыскания </w:t>
      </w:r>
      <w:r>
        <w:rPr>
          <w:rFonts w:eastAsiaTheme="minorHAnsi"/>
          <w:szCs w:val="22"/>
          <w:lang w:val="kk-KZ" w:eastAsia="en-US"/>
        </w:rPr>
        <w:t>за неисполнение/ненадлежащие исполнение</w:t>
      </w:r>
      <w:r>
        <w:rPr>
          <w:rFonts w:eastAsiaTheme="minorHAnsi"/>
          <w:lang w:val="kk-KZ" w:eastAsia="en-US"/>
        </w:rPr>
        <w:t xml:space="preserve"> положений настоящей Политики осуществляется в соответствии с законодательством РК и внутренними нормативными документами Банка.</w:t>
      </w:r>
    </w:p>
    <w:p w14:paraId="617B7FEE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t>Контроль за исполнением требований, устанавливаемых Политикой, осуществляется в соответствии с принципами системы внутреннего контроля Банка.</w:t>
      </w:r>
    </w:p>
    <w:p w14:paraId="617B7FEF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  <w:rPr>
          <w:rFonts w:eastAsiaTheme="minorHAnsi"/>
          <w:iCs/>
          <w:szCs w:val="22"/>
          <w:lang w:val="kk-KZ" w:eastAsia="en-US"/>
        </w:rPr>
      </w:pPr>
      <w:r>
        <w:t>Политика утверждается Советом Директоров Банка.</w:t>
      </w:r>
    </w:p>
    <w:p w14:paraId="617B7FF0" w14:textId="77777777" w:rsidR="00B25168" w:rsidRDefault="00723021">
      <w:pPr>
        <w:numPr>
          <w:ilvl w:val="0"/>
          <w:numId w:val="1"/>
        </w:numPr>
        <w:tabs>
          <w:tab w:val="left" w:pos="426"/>
        </w:tabs>
        <w:ind w:left="0" w:firstLine="0"/>
        <w:contextualSpacing/>
        <w:jc w:val="both"/>
      </w:pPr>
      <w:r>
        <w:t>Вопросы, неурегулированные Политикой, разрешаются в соответствии с законодательством РК, НПА РК, Уставом Банка, ВНД Банка, а также решениями органов и должностных лиц Банка, принятыми в установленном порядке в пределах их компетенций.</w:t>
      </w:r>
    </w:p>
    <w:p w14:paraId="617B7FF1" w14:textId="77777777" w:rsidR="00B25168" w:rsidRDefault="00B25168">
      <w:pPr>
        <w:tabs>
          <w:tab w:val="left" w:pos="426"/>
        </w:tabs>
        <w:contextualSpacing/>
        <w:jc w:val="both"/>
      </w:pPr>
    </w:p>
    <w:p w14:paraId="617B7FF2" w14:textId="77777777" w:rsidR="00B25168" w:rsidRDefault="00B25168">
      <w:pPr>
        <w:tabs>
          <w:tab w:val="left" w:pos="426"/>
        </w:tabs>
        <w:contextualSpacing/>
        <w:jc w:val="both"/>
      </w:pPr>
    </w:p>
    <w:p w14:paraId="617B7FF3" w14:textId="77777777" w:rsidR="00B25168" w:rsidRDefault="00B25168">
      <w:pPr>
        <w:tabs>
          <w:tab w:val="left" w:pos="426"/>
        </w:tabs>
        <w:contextualSpacing/>
        <w:jc w:val="both"/>
      </w:pPr>
    </w:p>
    <w:p w14:paraId="617B7FF4" w14:textId="77777777" w:rsidR="00B25168" w:rsidRDefault="00723021">
      <w:pPr>
        <w:pStyle w:val="2"/>
        <w:jc w:val="right"/>
        <w:rPr>
          <w:lang w:eastAsia="en-US"/>
        </w:rPr>
      </w:pPr>
      <w:bookmarkStart w:id="79" w:name="_Toc199831611"/>
      <w:r>
        <w:rPr>
          <w:lang w:eastAsia="en-US"/>
        </w:rPr>
        <w:t>Приложение №1</w:t>
      </w:r>
      <w:bookmarkEnd w:id="79"/>
      <w:r>
        <w:rPr>
          <w:lang w:eastAsia="en-US"/>
        </w:rPr>
        <w:t xml:space="preserve"> </w:t>
      </w:r>
    </w:p>
    <w:p w14:paraId="617B7FF5" w14:textId="77777777" w:rsidR="00B25168" w:rsidRDefault="00B25168">
      <w:pPr>
        <w:tabs>
          <w:tab w:val="left" w:pos="426"/>
        </w:tabs>
        <w:contextualSpacing/>
        <w:jc w:val="right"/>
      </w:pPr>
      <w:bookmarkStart w:id="80" w:name="_MON_1810126967"/>
      <w:bookmarkEnd w:id="80"/>
    </w:p>
    <w:p w14:paraId="617B7FF6" w14:textId="77777777" w:rsidR="00B25168" w:rsidRDefault="00000000">
      <w:pPr>
        <w:tabs>
          <w:tab w:val="left" w:pos="426"/>
        </w:tabs>
        <w:contextualSpacing/>
        <w:jc w:val="right"/>
      </w:pPr>
      <w:bookmarkStart w:id="81" w:name="_MON_1810126967_Копия_1"/>
      <w:bookmarkEnd w:id="81"/>
      <w:r>
        <w:pict w14:anchorId="617B801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6" o:spid="_x0000_s1027" type="#_x0000_t75" style="position:absolute;left:0;text-align:left;margin-left:0;margin-top:0;width:50pt;height:50pt;z-index:251657728;visibility:hidden">
            <o:lock v:ext="edit" selection="t"/>
          </v:shape>
        </w:pict>
      </w:r>
      <w:bookmarkStart w:id="82" w:name="_MON_1811579313"/>
      <w:bookmarkEnd w:id="82"/>
      <w:r w:rsidR="00723021">
        <w:object w:dxaOrig="1545" w:dyaOrig="990" w14:anchorId="617B8015">
          <v:shape id="ole_rId26" o:spid="_x0000_i1026" type="#_x0000_t75" style="width:77.25pt;height:49.5pt;visibility:visible;mso-wrap-distance-right:0" o:ole="">
            <v:imagedata r:id="rId19" o:title=""/>
          </v:shape>
          <o:OLEObject Type="Embed" ProgID="Word.Document.12" ShapeID="ole_rId26" DrawAspect="Icon" ObjectID="_1815892870" r:id="rId20"/>
        </w:object>
      </w:r>
    </w:p>
    <w:p w14:paraId="617B7FF7" w14:textId="77777777" w:rsidR="00B25168" w:rsidRDefault="00B25168">
      <w:pPr>
        <w:tabs>
          <w:tab w:val="left" w:pos="426"/>
        </w:tabs>
        <w:contextualSpacing/>
        <w:jc w:val="right"/>
      </w:pPr>
    </w:p>
    <w:sectPr w:rsidR="00B25168">
      <w:headerReference w:type="even" r:id="rId21"/>
      <w:headerReference w:type="default" r:id="rId22"/>
      <w:headerReference w:type="first" r:id="rId23"/>
      <w:pgSz w:w="11906" w:h="16838"/>
      <w:pgMar w:top="766" w:right="566" w:bottom="851" w:left="85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B79A32D" w14:textId="77777777" w:rsidR="00EA11FD" w:rsidRDefault="00EA11FD">
      <w:r>
        <w:separator/>
      </w:r>
    </w:p>
  </w:endnote>
  <w:endnote w:type="continuationSeparator" w:id="0">
    <w:p w14:paraId="199C9374" w14:textId="77777777" w:rsidR="00EA11FD" w:rsidRDefault="00EA11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rlito">
    <w:altName w:val="Calibri"/>
    <w:charset w:val="01"/>
    <w:family w:val="swiss"/>
    <w:pitch w:val="variable"/>
  </w:font>
  <w:font w:name="DejaVu Sans">
    <w:altName w:val="Verdan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FB2315F" w14:textId="77777777" w:rsidR="00EA11FD" w:rsidRDefault="00EA11FD">
      <w:r>
        <w:separator/>
      </w:r>
    </w:p>
  </w:footnote>
  <w:footnote w:type="continuationSeparator" w:id="0">
    <w:p w14:paraId="162029D7" w14:textId="77777777" w:rsidR="00EA11FD" w:rsidRDefault="00EA11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8016" w14:textId="77777777" w:rsidR="00B25168" w:rsidRDefault="00B25168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798452183"/>
      <w:docPartObj>
        <w:docPartGallery w:val="Page Numbers (Top of Page)"/>
        <w:docPartUnique/>
      </w:docPartObj>
    </w:sdtPr>
    <w:sdtContent>
      <w:p w14:paraId="617B8017" w14:textId="77777777" w:rsidR="00B25168" w:rsidRDefault="00723021">
        <w:pPr>
          <w:pStyle w:val="a4"/>
          <w:jc w:val="center"/>
        </w:pPr>
        <w:r>
          <w:fldChar w:fldCharType="begin"/>
        </w:r>
        <w:r>
          <w:instrText xml:space="preserve"> PAGE </w:instrText>
        </w:r>
        <w:r>
          <w:fldChar w:fldCharType="separate"/>
        </w:r>
        <w:r>
          <w:t>13</w:t>
        </w:r>
        <w:r>
          <w:fldChar w:fldCharType="end"/>
        </w:r>
      </w:p>
    </w:sdtContent>
  </w:sdt>
  <w:p w14:paraId="617B8018" w14:textId="77777777" w:rsidR="00B25168" w:rsidRDefault="00B2516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7B8019" w14:textId="77777777" w:rsidR="00B25168" w:rsidRDefault="00B25168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A462FD"/>
    <w:multiLevelType w:val="multilevel"/>
    <w:tmpl w:val="7ABCFD3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34D300E"/>
    <w:multiLevelType w:val="multilevel"/>
    <w:tmpl w:val="A6EC3A4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B56537"/>
    <w:multiLevelType w:val="multilevel"/>
    <w:tmpl w:val="959883A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1B3B4CB1"/>
    <w:multiLevelType w:val="multilevel"/>
    <w:tmpl w:val="EA9AB2D8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4" w15:restartNumberingAfterBreak="0">
    <w:nsid w:val="34097ECB"/>
    <w:multiLevelType w:val="multilevel"/>
    <w:tmpl w:val="041AA3CC"/>
    <w:lvl w:ilvl="0">
      <w:start w:val="1"/>
      <w:numFmt w:val="bullet"/>
      <w:lvlText w:val="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42F85CF4"/>
    <w:multiLevelType w:val="multilevel"/>
    <w:tmpl w:val="A38EFBF8"/>
    <w:lvl w:ilvl="0">
      <w:start w:val="1"/>
      <w:numFmt w:val="bullet"/>
      <w:pStyle w:val="3"/>
      <w:lvlText w:val="-"/>
      <w:lvlJc w:val="left"/>
      <w:pPr>
        <w:tabs>
          <w:tab w:val="num" w:pos="0"/>
        </w:tabs>
        <w:ind w:left="144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AF267FA"/>
    <w:multiLevelType w:val="multilevel"/>
    <w:tmpl w:val="6A06C08E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sz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7" w15:restartNumberingAfterBreak="0">
    <w:nsid w:val="53B51C06"/>
    <w:multiLevelType w:val="multilevel"/>
    <w:tmpl w:val="B6486FD0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59B716C4"/>
    <w:multiLevelType w:val="multilevel"/>
    <w:tmpl w:val="2A8CA648"/>
    <w:lvl w:ilvl="0">
      <w:start w:val="1"/>
      <w:numFmt w:val="decimal"/>
      <w:lvlText w:val="%1."/>
      <w:lvlJc w:val="left"/>
      <w:pPr>
        <w:tabs>
          <w:tab w:val="num" w:pos="0"/>
        </w:tabs>
        <w:ind w:left="2912" w:hanging="360"/>
      </w:pPr>
      <w:rPr>
        <w:rFonts w:ascii="Times New Roman" w:hAnsi="Times New Roman" w:cs="Times New Roman"/>
        <w:b w:val="0"/>
        <w:bCs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9" w15:restartNumberingAfterBreak="0">
    <w:nsid w:val="5CF15A3C"/>
    <w:multiLevelType w:val="multilevel"/>
    <w:tmpl w:val="F6500FA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0" w15:restartNumberingAfterBreak="0">
    <w:nsid w:val="5E290246"/>
    <w:multiLevelType w:val="multilevel"/>
    <w:tmpl w:val="E4D6A2B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1" w15:restartNumberingAfterBreak="0">
    <w:nsid w:val="5FF91853"/>
    <w:multiLevelType w:val="multilevel"/>
    <w:tmpl w:val="BCF2114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786876DB"/>
    <w:multiLevelType w:val="multilevel"/>
    <w:tmpl w:val="0C940CA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543713099">
    <w:abstractNumId w:val="8"/>
  </w:num>
  <w:num w:numId="2" w16cid:durableId="88308938">
    <w:abstractNumId w:val="7"/>
  </w:num>
  <w:num w:numId="3" w16cid:durableId="668943026">
    <w:abstractNumId w:val="1"/>
  </w:num>
  <w:num w:numId="4" w16cid:durableId="284387844">
    <w:abstractNumId w:val="2"/>
  </w:num>
  <w:num w:numId="5" w16cid:durableId="1947499171">
    <w:abstractNumId w:val="4"/>
  </w:num>
  <w:num w:numId="6" w16cid:durableId="1079986541">
    <w:abstractNumId w:val="3"/>
  </w:num>
  <w:num w:numId="7" w16cid:durableId="1917543805">
    <w:abstractNumId w:val="11"/>
  </w:num>
  <w:num w:numId="8" w16cid:durableId="856503565">
    <w:abstractNumId w:val="0"/>
  </w:num>
  <w:num w:numId="9" w16cid:durableId="103501073">
    <w:abstractNumId w:val="12"/>
  </w:num>
  <w:num w:numId="10" w16cid:durableId="362366824">
    <w:abstractNumId w:val="5"/>
  </w:num>
  <w:num w:numId="11" w16cid:durableId="145053152">
    <w:abstractNumId w:val="10"/>
  </w:num>
  <w:num w:numId="12" w16cid:durableId="702442560">
    <w:abstractNumId w:val="6"/>
  </w:num>
  <w:num w:numId="13" w16cid:durableId="406271589">
    <w:abstractNumId w:val="9"/>
  </w:num>
  <w:num w:numId="14" w16cid:durableId="1119685045">
    <w:abstractNumId w:val="6"/>
    <w:lvlOverride w:ilvl="0">
      <w:startOverride w:val="1"/>
    </w:lvlOverride>
  </w:num>
  <w:num w:numId="15" w16cid:durableId="44029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5168"/>
    <w:rsid w:val="000660A6"/>
    <w:rsid w:val="00096FA9"/>
    <w:rsid w:val="00103D87"/>
    <w:rsid w:val="001272D4"/>
    <w:rsid w:val="00132383"/>
    <w:rsid w:val="00170093"/>
    <w:rsid w:val="001D461A"/>
    <w:rsid w:val="00200905"/>
    <w:rsid w:val="00230A46"/>
    <w:rsid w:val="00246729"/>
    <w:rsid w:val="002917C2"/>
    <w:rsid w:val="00296E5B"/>
    <w:rsid w:val="002F105B"/>
    <w:rsid w:val="00332086"/>
    <w:rsid w:val="00370A4E"/>
    <w:rsid w:val="003F3A7C"/>
    <w:rsid w:val="004906B8"/>
    <w:rsid w:val="005020A9"/>
    <w:rsid w:val="0057611C"/>
    <w:rsid w:val="005E68AE"/>
    <w:rsid w:val="00723021"/>
    <w:rsid w:val="00724479"/>
    <w:rsid w:val="0077613F"/>
    <w:rsid w:val="00797196"/>
    <w:rsid w:val="007C163A"/>
    <w:rsid w:val="007D1E5A"/>
    <w:rsid w:val="00823BF1"/>
    <w:rsid w:val="00836A83"/>
    <w:rsid w:val="0084144C"/>
    <w:rsid w:val="00862EF4"/>
    <w:rsid w:val="00923A11"/>
    <w:rsid w:val="00943B0A"/>
    <w:rsid w:val="00A56377"/>
    <w:rsid w:val="00A70750"/>
    <w:rsid w:val="00AB20BF"/>
    <w:rsid w:val="00AD2757"/>
    <w:rsid w:val="00AE5F95"/>
    <w:rsid w:val="00B25168"/>
    <w:rsid w:val="00B44931"/>
    <w:rsid w:val="00BE2A4B"/>
    <w:rsid w:val="00BE5D2A"/>
    <w:rsid w:val="00C32423"/>
    <w:rsid w:val="00C42DA4"/>
    <w:rsid w:val="00CE0BE9"/>
    <w:rsid w:val="00CE4976"/>
    <w:rsid w:val="00D226BD"/>
    <w:rsid w:val="00D41E6C"/>
    <w:rsid w:val="00D42E27"/>
    <w:rsid w:val="00D805C0"/>
    <w:rsid w:val="00D831EE"/>
    <w:rsid w:val="00DB1E33"/>
    <w:rsid w:val="00EA11FD"/>
    <w:rsid w:val="00F64126"/>
    <w:rsid w:val="00FD1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617B7EB3"/>
  <w15:docId w15:val="{03B5B5E4-1B54-4BFB-AB9D-2B415214C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121A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A7661"/>
    <w:pPr>
      <w:keepNext/>
      <w:keepLines/>
      <w:spacing w:before="240"/>
      <w:jc w:val="center"/>
      <w:outlineLvl w:val="0"/>
    </w:pPr>
    <w:rPr>
      <w:rFonts w:eastAsiaTheme="majorEastAsia" w:cstheme="majorBidi"/>
      <w:b/>
      <w:color w:val="000000" w:themeColor="text1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D2BF4"/>
    <w:pPr>
      <w:keepNext/>
      <w:keepLines/>
      <w:spacing w:before="40"/>
      <w:outlineLvl w:val="1"/>
    </w:pPr>
    <w:rPr>
      <w:rFonts w:eastAsiaTheme="majorEastAsia" w:cstheme="majorBidi"/>
      <w:b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DC2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link w:val="a6"/>
    <w:uiPriority w:val="99"/>
    <w:qFormat/>
    <w:rsid w:val="00DC259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DC6C6D"/>
    <w:rPr>
      <w:color w:val="0563C1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FA7661"/>
    <w:rPr>
      <w:rFonts w:ascii="Times New Roman" w:eastAsiaTheme="majorEastAsia" w:hAnsi="Times New Roman" w:cstheme="majorBidi"/>
      <w:b/>
      <w:color w:val="000000" w:themeColor="text1"/>
      <w:sz w:val="24"/>
      <w:szCs w:val="32"/>
      <w:lang w:eastAsia="ru-RU"/>
    </w:rPr>
  </w:style>
  <w:style w:type="character" w:customStyle="1" w:styleId="a8">
    <w:name w:val="Текст сноски Знак"/>
    <w:basedOn w:val="a0"/>
    <w:link w:val="a9"/>
    <w:uiPriority w:val="99"/>
    <w:semiHidden/>
    <w:qFormat/>
    <w:rsid w:val="006D51CC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user">
    <w:name w:val="Символ сноски (user)"/>
    <w:basedOn w:val="a0"/>
    <w:uiPriority w:val="99"/>
    <w:semiHidden/>
    <w:unhideWhenUsed/>
    <w:qFormat/>
    <w:rsid w:val="006D51CC"/>
    <w:rPr>
      <w:vertAlign w:val="superscript"/>
    </w:rPr>
  </w:style>
  <w:style w:type="character" w:customStyle="1" w:styleId="aa">
    <w:name w:val="Символ сноски"/>
    <w:qFormat/>
    <w:rPr>
      <w:vertAlign w:val="superscript"/>
    </w:rPr>
  </w:style>
  <w:style w:type="character" w:styleId="ab">
    <w:name w:val="footnote reference"/>
    <w:rPr>
      <w:vertAlign w:val="superscript"/>
    </w:rPr>
  </w:style>
  <w:style w:type="character" w:customStyle="1" w:styleId="ac">
    <w:name w:val="Абзац списка Знак"/>
    <w:basedOn w:val="a0"/>
    <w:link w:val="ad"/>
    <w:uiPriority w:val="34"/>
    <w:qFormat/>
    <w:rsid w:val="00EE104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Заголовок Знак"/>
    <w:basedOn w:val="a0"/>
    <w:link w:val="af"/>
    <w:uiPriority w:val="10"/>
    <w:qFormat/>
    <w:rsid w:val="00FA7661"/>
    <w:rPr>
      <w:rFonts w:ascii="Times New Roman" w:eastAsiaTheme="majorEastAsia" w:hAnsi="Times New Roman" w:cstheme="majorBidi"/>
      <w:b/>
      <w:spacing w:val="-10"/>
      <w:kern w:val="2"/>
      <w:sz w:val="24"/>
      <w:szCs w:val="56"/>
      <w:lang w:eastAsia="ru-RU"/>
    </w:rPr>
  </w:style>
  <w:style w:type="character" w:customStyle="1" w:styleId="20">
    <w:name w:val="Заголовок 2 Знак"/>
    <w:basedOn w:val="a0"/>
    <w:link w:val="2"/>
    <w:uiPriority w:val="9"/>
    <w:qFormat/>
    <w:rsid w:val="008D2BF4"/>
    <w:rPr>
      <w:rFonts w:ascii="Times New Roman" w:eastAsiaTheme="majorEastAsia" w:hAnsi="Times New Roman" w:cstheme="majorBidi"/>
      <w:b/>
      <w:sz w:val="24"/>
      <w:szCs w:val="26"/>
      <w:lang w:eastAsia="ru-RU"/>
    </w:rPr>
  </w:style>
  <w:style w:type="character" w:styleId="af0">
    <w:name w:val="annotation reference"/>
    <w:basedOn w:val="a0"/>
    <w:uiPriority w:val="99"/>
    <w:semiHidden/>
    <w:unhideWhenUsed/>
    <w:qFormat/>
    <w:rsid w:val="006A2C1E"/>
    <w:rPr>
      <w:sz w:val="16"/>
      <w:szCs w:val="16"/>
    </w:rPr>
  </w:style>
  <w:style w:type="character" w:customStyle="1" w:styleId="af1">
    <w:name w:val="Текст примечания Знак"/>
    <w:basedOn w:val="a0"/>
    <w:link w:val="af2"/>
    <w:uiPriority w:val="99"/>
    <w:qFormat/>
    <w:rsid w:val="006A2C1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3">
    <w:name w:val="Тема примечания Знак"/>
    <w:basedOn w:val="af1"/>
    <w:link w:val="af4"/>
    <w:uiPriority w:val="99"/>
    <w:semiHidden/>
    <w:qFormat/>
    <w:rsid w:val="006A2C1E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sid w:val="00FA72B8"/>
    <w:rPr>
      <w:color w:val="605E5C"/>
      <w:shd w:val="clear" w:color="auto" w:fill="E1DFDD"/>
    </w:rPr>
  </w:style>
  <w:style w:type="character" w:styleId="af5">
    <w:name w:val="Emphasis"/>
    <w:basedOn w:val="a0"/>
    <w:uiPriority w:val="20"/>
    <w:qFormat/>
    <w:rsid w:val="00A55761"/>
    <w:rPr>
      <w:i/>
      <w:iCs/>
    </w:rPr>
  </w:style>
  <w:style w:type="character" w:customStyle="1" w:styleId="af6">
    <w:name w:val="Текст выноски Знак"/>
    <w:basedOn w:val="a0"/>
    <w:link w:val="af7"/>
    <w:uiPriority w:val="99"/>
    <w:semiHidden/>
    <w:qFormat/>
    <w:rsid w:val="00726C3F"/>
    <w:rPr>
      <w:rFonts w:ascii="Segoe UI" w:eastAsia="Times New Roman" w:hAnsi="Segoe UI" w:cs="Segoe UI"/>
      <w:sz w:val="18"/>
      <w:szCs w:val="18"/>
      <w:lang w:eastAsia="ru-RU"/>
    </w:rPr>
  </w:style>
  <w:style w:type="character" w:styleId="af8">
    <w:name w:val="FollowedHyperlink"/>
    <w:basedOn w:val="a0"/>
    <w:uiPriority w:val="99"/>
    <w:semiHidden/>
    <w:unhideWhenUsed/>
    <w:rsid w:val="002E7270"/>
    <w:rPr>
      <w:color w:val="954F72" w:themeColor="followedHyperlink"/>
      <w:u w:val="single"/>
    </w:rPr>
  </w:style>
  <w:style w:type="character" w:styleId="af9">
    <w:name w:val="Unresolved Mention"/>
    <w:basedOn w:val="a0"/>
    <w:uiPriority w:val="99"/>
    <w:semiHidden/>
    <w:unhideWhenUsed/>
    <w:qFormat/>
    <w:rsid w:val="00B97F26"/>
    <w:rPr>
      <w:color w:val="605E5C"/>
      <w:shd w:val="clear" w:color="auto" w:fill="E1DFDD"/>
    </w:rPr>
  </w:style>
  <w:style w:type="character" w:customStyle="1" w:styleId="user0">
    <w:name w:val="Ссылка указателя (user)"/>
    <w:qFormat/>
  </w:style>
  <w:style w:type="character" w:customStyle="1" w:styleId="afa">
    <w:name w:val="Ссылка указателя"/>
    <w:qFormat/>
  </w:style>
  <w:style w:type="paragraph" w:styleId="af">
    <w:name w:val="Title"/>
    <w:basedOn w:val="a"/>
    <w:next w:val="afb"/>
    <w:link w:val="ae"/>
    <w:uiPriority w:val="10"/>
    <w:qFormat/>
    <w:rsid w:val="00FA7661"/>
    <w:pPr>
      <w:contextualSpacing/>
      <w:jc w:val="center"/>
    </w:pPr>
    <w:rPr>
      <w:rFonts w:eastAsiaTheme="majorEastAsia" w:cstheme="majorBidi"/>
      <w:b/>
      <w:spacing w:val="-10"/>
      <w:kern w:val="2"/>
      <w:szCs w:val="56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</w:style>
  <w:style w:type="paragraph" w:styleId="afd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fe">
    <w:name w:val="index heading"/>
    <w:basedOn w:val="user1"/>
  </w:style>
  <w:style w:type="paragraph" w:customStyle="1" w:styleId="user1">
    <w:name w:val="Заголовок (user)"/>
    <w:basedOn w:val="a"/>
    <w:next w:val="afb"/>
    <w:qFormat/>
    <w:pPr>
      <w:keepNext/>
      <w:spacing w:before="240" w:after="120"/>
    </w:pPr>
    <w:rPr>
      <w:rFonts w:ascii="Carlito" w:eastAsia="DejaVu Sans" w:hAnsi="Carlito" w:cs="DejaVu Sans"/>
      <w:sz w:val="28"/>
      <w:szCs w:val="28"/>
    </w:rPr>
  </w:style>
  <w:style w:type="paragraph" w:customStyle="1" w:styleId="user2">
    <w:name w:val="Указатель (user)"/>
    <w:basedOn w:val="a"/>
    <w:qFormat/>
    <w:pPr>
      <w:suppressLineNumbers/>
    </w:pPr>
  </w:style>
  <w:style w:type="paragraph" w:styleId="ad">
    <w:name w:val="List Paragraph"/>
    <w:basedOn w:val="a"/>
    <w:link w:val="ac"/>
    <w:uiPriority w:val="34"/>
    <w:qFormat/>
    <w:rsid w:val="007847F7"/>
    <w:pPr>
      <w:ind w:left="720"/>
      <w:contextualSpacing/>
    </w:pPr>
  </w:style>
  <w:style w:type="paragraph" w:customStyle="1" w:styleId="HeaderandFooter">
    <w:name w:val="Header and Footer"/>
    <w:basedOn w:val="a"/>
    <w:qFormat/>
  </w:style>
  <w:style w:type="paragraph" w:styleId="a4">
    <w:name w:val="header"/>
    <w:basedOn w:val="a"/>
    <w:link w:val="a3"/>
    <w:uiPriority w:val="99"/>
    <w:unhideWhenUsed/>
    <w:rsid w:val="00DC2599"/>
    <w:pPr>
      <w:tabs>
        <w:tab w:val="center" w:pos="4677"/>
        <w:tab w:val="right" w:pos="9355"/>
      </w:tabs>
    </w:pPr>
  </w:style>
  <w:style w:type="paragraph" w:styleId="a6">
    <w:name w:val="footer"/>
    <w:basedOn w:val="a"/>
    <w:link w:val="a5"/>
    <w:uiPriority w:val="99"/>
    <w:unhideWhenUsed/>
    <w:rsid w:val="00DC2599"/>
    <w:pPr>
      <w:tabs>
        <w:tab w:val="center" w:pos="4677"/>
        <w:tab w:val="right" w:pos="9355"/>
      </w:tabs>
    </w:pPr>
  </w:style>
  <w:style w:type="paragraph" w:styleId="12">
    <w:name w:val="toc 1"/>
    <w:basedOn w:val="a"/>
    <w:next w:val="a"/>
    <w:autoRedefine/>
    <w:uiPriority w:val="39"/>
    <w:unhideWhenUsed/>
    <w:rsid w:val="00873EF5"/>
    <w:pPr>
      <w:tabs>
        <w:tab w:val="right" w:leader="dot" w:pos="10065"/>
      </w:tabs>
      <w:spacing w:after="100"/>
      <w:ind w:left="567" w:hanging="283"/>
    </w:pPr>
  </w:style>
  <w:style w:type="paragraph" w:styleId="21">
    <w:name w:val="toc 2"/>
    <w:basedOn w:val="a"/>
    <w:next w:val="a"/>
    <w:autoRedefine/>
    <w:uiPriority w:val="39"/>
    <w:unhideWhenUsed/>
    <w:rsid w:val="00324846"/>
    <w:pPr>
      <w:tabs>
        <w:tab w:val="right" w:leader="dot" w:pos="10065"/>
      </w:tabs>
      <w:spacing w:after="100"/>
      <w:ind w:left="567"/>
    </w:pPr>
  </w:style>
  <w:style w:type="paragraph" w:styleId="a9">
    <w:name w:val="footnote text"/>
    <w:basedOn w:val="a"/>
    <w:link w:val="a8"/>
    <w:uiPriority w:val="99"/>
    <w:semiHidden/>
    <w:unhideWhenUsed/>
    <w:rsid w:val="006D51CC"/>
    <w:rPr>
      <w:sz w:val="20"/>
      <w:szCs w:val="20"/>
    </w:rPr>
  </w:style>
  <w:style w:type="paragraph" w:customStyle="1" w:styleId="Default">
    <w:name w:val="Default"/>
    <w:qFormat/>
    <w:rsid w:val="002F7BBB"/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2">
    <w:name w:val="annotation text"/>
    <w:basedOn w:val="a"/>
    <w:link w:val="af1"/>
    <w:uiPriority w:val="99"/>
    <w:unhideWhenUsed/>
    <w:rsid w:val="006A2C1E"/>
    <w:rPr>
      <w:sz w:val="20"/>
      <w:szCs w:val="20"/>
    </w:rPr>
  </w:style>
  <w:style w:type="paragraph" w:styleId="af4">
    <w:name w:val="annotation subject"/>
    <w:basedOn w:val="af2"/>
    <w:next w:val="af2"/>
    <w:link w:val="af3"/>
    <w:uiPriority w:val="99"/>
    <w:semiHidden/>
    <w:unhideWhenUsed/>
    <w:qFormat/>
    <w:rsid w:val="006A2C1E"/>
    <w:rPr>
      <w:b/>
      <w:bCs/>
    </w:rPr>
  </w:style>
  <w:style w:type="paragraph" w:styleId="aff">
    <w:name w:val="Revision"/>
    <w:uiPriority w:val="99"/>
    <w:semiHidden/>
    <w:qFormat/>
    <w:rsid w:val="000318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7">
    <w:name w:val="Balloon Text"/>
    <w:basedOn w:val="a"/>
    <w:link w:val="af6"/>
    <w:uiPriority w:val="99"/>
    <w:semiHidden/>
    <w:unhideWhenUsed/>
    <w:qFormat/>
    <w:rsid w:val="00726C3F"/>
    <w:rPr>
      <w:rFonts w:ascii="Segoe UI" w:hAnsi="Segoe UI" w:cs="Segoe UI"/>
      <w:sz w:val="18"/>
      <w:szCs w:val="18"/>
    </w:rPr>
  </w:style>
  <w:style w:type="paragraph" w:customStyle="1" w:styleId="3">
    <w:name w:val="Базовый А3"/>
    <w:basedOn w:val="a"/>
    <w:next w:val="a"/>
    <w:qFormat/>
    <w:rsid w:val="000B5A1D"/>
    <w:pPr>
      <w:numPr>
        <w:numId w:val="10"/>
      </w:numPr>
      <w:ind w:left="993" w:hanging="284"/>
      <w:jc w:val="both"/>
    </w:pPr>
    <w:rPr>
      <w:rFonts w:eastAsiaTheme="minorHAnsi" w:cstheme="minorBidi"/>
      <w:szCs w:val="22"/>
      <w:lang w:eastAsia="en-US"/>
    </w:rPr>
  </w:style>
  <w:style w:type="paragraph" w:styleId="aff0">
    <w:name w:val="TOC Heading"/>
    <w:basedOn w:val="1"/>
    <w:next w:val="a"/>
    <w:uiPriority w:val="39"/>
    <w:unhideWhenUsed/>
    <w:qFormat/>
    <w:rsid w:val="00324846"/>
    <w:pPr>
      <w:spacing w:line="259" w:lineRule="auto"/>
      <w:jc w:val="left"/>
      <w:outlineLvl w:val="9"/>
    </w:pPr>
    <w:rPr>
      <w:rFonts w:asciiTheme="majorHAnsi" w:hAnsiTheme="majorHAnsi"/>
      <w:b w:val="0"/>
      <w:color w:val="2E74B5" w:themeColor="accent1" w:themeShade="BF"/>
      <w:sz w:val="32"/>
    </w:rPr>
  </w:style>
  <w:style w:type="paragraph" w:customStyle="1" w:styleId="user3">
    <w:name w:val="Содержимое врезки (user)"/>
    <w:basedOn w:val="a"/>
    <w:qFormat/>
  </w:style>
  <w:style w:type="paragraph" w:customStyle="1" w:styleId="aff1">
    <w:name w:val="Содержимое врезки"/>
    <w:basedOn w:val="a"/>
    <w:qFormat/>
  </w:style>
  <w:style w:type="numbering" w:customStyle="1" w:styleId="user4">
    <w:name w:val="Без списка (user)"/>
    <w:uiPriority w:val="99"/>
    <w:semiHidden/>
    <w:unhideWhenUsed/>
    <w:qFormat/>
  </w:style>
  <w:style w:type="paragraph" w:styleId="aff2">
    <w:name w:val="No Spacing"/>
    <w:uiPriority w:val="1"/>
    <w:qFormat/>
    <w:rsid w:val="0057611C"/>
    <w:pPr>
      <w:suppressAutoHyphens w:val="0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cc.kz/storage/app/media/&#1054;%20&#1073;&#1072;&#1085;&#1082;&#1077;/ESG/Documents/politika%20ust%20razv%20rus.pdf" TargetMode="External"/><Relationship Id="rId13" Type="http://schemas.openxmlformats.org/officeDocument/2006/relationships/hyperlink" Target="https://www.bcc.kz/storage/app/media/&#1054;%20&#1073;&#1072;&#1085;&#1082;&#1077;/ESG/Documents/rus_&#1087;&#1086;&#1083;&#1080;&#1090;&#1080;&#1082;&#1072;%20&#1087;&#1086;%20&#1087;&#1088;&#1072;&#1074;&#1072;&#1084;%20&#1095;&#1077;&#1083;&#1086;&#1074;&#1077;&#1082;&#1072;.pdf" TargetMode="External"/><Relationship Id="rId18" Type="http://schemas.openxmlformats.org/officeDocument/2006/relationships/hyperlink" Target="https://www.bcc.kz/storage/app/media/&#1054;%20&#1073;&#1072;&#1085;&#1082;&#1077;/ESG/Documents/politika%20otv%20fin%20rus.pdf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bcc.kz/storage/app/media/&#1054;%20&#1073;&#1072;&#1085;&#1082;&#1077;/ESG/Documents/politika%20otv%20fin%20rus.pdf" TargetMode="External"/><Relationship Id="rId17" Type="http://schemas.openxmlformats.org/officeDocument/2006/relationships/image" Target="media/image1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www.bcc.kz/storage/app/media/&#1054;%20&#1073;&#1072;&#1085;&#1082;&#1077;/ESG/Documents/&#1050;&#1083;&#1080;&#1084;&#1072;&#1090;&#1080;&#1095;&#1077;&#1089;&#1082;&#1072;&#1103;%20&#1089;&#1090;&#1088;&#1072;&#1090;&#1077;&#1075;&#1080;&#1103;/1bcc-ey-climate-strategy-resulting-materialrusversion-1.pdf" TargetMode="External"/><Relationship Id="rId20" Type="http://schemas.openxmlformats.org/officeDocument/2006/relationships/package" Target="embeddings/Microsoft_Word_Document.docx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bcc.kz/storage/app/media/&#1054;%20&#1073;&#1072;&#1085;&#1082;&#1077;/ESG/Documents/politika%20ust%20razv%20rus.pdf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s://www.bcc.kz/storage/app/media/&#1054;%20&#1073;&#1072;&#1085;&#1082;&#1077;/ESG/Documents/kodeks-korporativnoi-etikirus.pdf" TargetMode="External"/><Relationship Id="rId23" Type="http://schemas.openxmlformats.org/officeDocument/2006/relationships/header" Target="header3.xml"/><Relationship Id="rId10" Type="http://schemas.openxmlformats.org/officeDocument/2006/relationships/hyperlink" Target="https://www.bcc.kz/storage/app/media/&#1054;%20&#1073;&#1072;&#1085;&#1082;&#1077;/ESG/Documents/&#1050;&#1083;&#1080;&#1084;&#1072;&#1090;&#1080;&#1095;&#1077;&#1089;&#1082;&#1072;&#1103;%20&#1089;&#1090;&#1088;&#1072;&#1090;&#1077;&#1075;&#1080;&#1103;/1bcc-ey-climate-strategy-resulting-materialrusversion-1.pdf" TargetMode="External"/><Relationship Id="rId19" Type="http://schemas.openxmlformats.org/officeDocument/2006/relationships/image" Target="media/image2.emf"/><Relationship Id="rId4" Type="http://schemas.openxmlformats.org/officeDocument/2006/relationships/settings" Target="settings.xml"/><Relationship Id="rId9" Type="http://schemas.openxmlformats.org/officeDocument/2006/relationships/hyperlink" Target="https://www.bcc.kz/storage/app/media/&#1054;%20&#1073;&#1072;&#1085;&#1082;&#1077;/ESG/Documents/politika%20otv%20fin%20rus.pdf" TargetMode="External"/><Relationship Id="rId14" Type="http://schemas.openxmlformats.org/officeDocument/2006/relationships/hyperlink" Target="https://www.bcc.kz/storage/app/media/&#1054;%20&#1073;&#1072;&#1085;&#1082;&#1077;/ESG/Documents/politika%20protivodeistv%20korupcii_rus.pdf" TargetMode="External"/><Relationship Id="rId22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C1830-E0D0-44A8-A843-2428C5308F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13</Pages>
  <Words>6322</Words>
  <Characters>36040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Щербак Татьяна Анатольевна</dc:creator>
  <dc:description/>
  <cp:lastModifiedBy>Тюмамбаева Рауза Куанышевна</cp:lastModifiedBy>
  <cp:revision>4</cp:revision>
  <dcterms:created xsi:type="dcterms:W3CDTF">2025-08-05T04:45:00Z</dcterms:created>
  <dcterms:modified xsi:type="dcterms:W3CDTF">2025-08-05T04:54:00Z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d43844d-2ea7-439e-adcc-bf1cfab92943_ActionId">
    <vt:lpwstr>0b2b9172-0879-46ab-bc78-2d247e68f236</vt:lpwstr>
  </property>
  <property fmtid="{D5CDD505-2E9C-101B-9397-08002B2CF9AE}" pid="3" name="MSIP_Label_1d43844d-2ea7-439e-adcc-bf1cfab92943_ContentBits">
    <vt:lpwstr>0</vt:lpwstr>
  </property>
  <property fmtid="{D5CDD505-2E9C-101B-9397-08002B2CF9AE}" pid="4" name="MSIP_Label_1d43844d-2ea7-439e-adcc-bf1cfab92943_Enabled">
    <vt:lpwstr>true</vt:lpwstr>
  </property>
  <property fmtid="{D5CDD505-2E9C-101B-9397-08002B2CF9AE}" pid="5" name="MSIP_Label_1d43844d-2ea7-439e-adcc-bf1cfab92943_Method">
    <vt:lpwstr>Standard</vt:lpwstr>
  </property>
  <property fmtid="{D5CDD505-2E9C-101B-9397-08002B2CF9AE}" pid="6" name="MSIP_Label_1d43844d-2ea7-439e-adcc-bf1cfab92943_Name">
    <vt:lpwstr>Базовая метка</vt:lpwstr>
  </property>
  <property fmtid="{D5CDD505-2E9C-101B-9397-08002B2CF9AE}" pid="7" name="MSIP_Label_1d43844d-2ea7-439e-adcc-bf1cfab92943_SetDate">
    <vt:lpwstr>2025-05-27T10:06:44Z</vt:lpwstr>
  </property>
  <property fmtid="{D5CDD505-2E9C-101B-9397-08002B2CF9AE}" pid="8" name="MSIP_Label_1d43844d-2ea7-439e-adcc-bf1cfab92943_SiteId">
    <vt:lpwstr>7f7b9357-9c44-4410-95df-2c59b7c1872b</vt:lpwstr>
  </property>
</Properties>
</file>