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7B7EB6" w14:textId="77777777" w:rsidR="00B25168" w:rsidRPr="00FF6ADD" w:rsidRDefault="00B25168">
      <w:pPr>
        <w:jc w:val="both"/>
        <w:rPr>
          <w:lang w:val="en-US"/>
        </w:rPr>
      </w:pPr>
    </w:p>
    <w:tbl>
      <w:tblPr>
        <w:tblpPr w:leftFromText="180" w:rightFromText="180" w:horzAnchor="margin" w:tblpY="775"/>
        <w:tblOverlap w:val="never"/>
        <w:tblW w:w="10313" w:type="dxa"/>
        <w:tblLayout w:type="fixed"/>
        <w:tblLook w:val="0000" w:firstRow="0" w:lastRow="0" w:firstColumn="0" w:lastColumn="0" w:noHBand="0" w:noVBand="0"/>
      </w:tblPr>
      <w:tblGrid>
        <w:gridCol w:w="10313"/>
      </w:tblGrid>
      <w:tr w:rsidR="00B25168" w14:paraId="617B7EBB" w14:textId="77777777">
        <w:tc>
          <w:tcPr>
            <w:tcW w:w="10313" w:type="dxa"/>
          </w:tcPr>
          <w:p w14:paraId="59791FCC" w14:textId="77777777" w:rsidR="00FF6ADD" w:rsidRDefault="00FF6ADD">
            <w:pPr>
              <w:jc w:val="right"/>
              <w:rPr>
                <w:lang w:val="en-US" w:eastAsia="x-none"/>
              </w:rPr>
            </w:pPr>
            <w:r>
              <w:rPr>
                <w:lang w:val="en-US" w:eastAsia="x-none"/>
              </w:rPr>
              <w:t xml:space="preserve">Approved by </w:t>
            </w:r>
          </w:p>
          <w:p w14:paraId="617B7EB8" w14:textId="36BE9DB2" w:rsidR="00B25168" w:rsidRPr="0022097E" w:rsidRDefault="00FF6ADD" w:rsidP="00FF6ADD">
            <w:pPr>
              <w:jc w:val="right"/>
              <w:rPr>
                <w:lang w:val="en-US" w:eastAsia="x-none"/>
              </w:rPr>
            </w:pPr>
            <w:r>
              <w:rPr>
                <w:lang w:val="en-US" w:eastAsia="x-none"/>
              </w:rPr>
              <w:t xml:space="preserve">Minutes of the Management Board </w:t>
            </w:r>
          </w:p>
          <w:p w14:paraId="617B7EB9" w14:textId="23564DC9" w:rsidR="00B25168" w:rsidRPr="00FF6ADD" w:rsidRDefault="00FF6ADD">
            <w:pPr>
              <w:jc w:val="right"/>
              <w:rPr>
                <w:lang w:val="en-US" w:eastAsia="x-none"/>
              </w:rPr>
            </w:pPr>
            <w:r>
              <w:rPr>
                <w:lang w:val="en-US" w:eastAsia="x-none"/>
              </w:rPr>
              <w:t xml:space="preserve">No. </w:t>
            </w:r>
            <w:r w:rsidR="005E68AE">
              <w:rPr>
                <w:lang w:eastAsia="x-none"/>
              </w:rPr>
              <w:t>0623/4</w:t>
            </w:r>
            <w:r w:rsidR="00723021">
              <w:rPr>
                <w:lang w:eastAsia="x-none"/>
              </w:rPr>
              <w:t xml:space="preserve"> </w:t>
            </w:r>
            <w:r>
              <w:rPr>
                <w:lang w:val="en-US" w:eastAsia="x-none"/>
              </w:rPr>
              <w:t>dated</w:t>
            </w:r>
            <w:r w:rsidR="005E68AE">
              <w:rPr>
                <w:lang w:eastAsia="x-none"/>
              </w:rPr>
              <w:t xml:space="preserve"> </w:t>
            </w:r>
            <w:r>
              <w:rPr>
                <w:lang w:val="en-US" w:eastAsia="x-none"/>
              </w:rPr>
              <w:t xml:space="preserve">23 June </w:t>
            </w:r>
            <w:r w:rsidR="005E68AE">
              <w:rPr>
                <w:lang w:eastAsia="x-none"/>
              </w:rPr>
              <w:t>2025</w:t>
            </w:r>
          </w:p>
          <w:p w14:paraId="617B7EBA" w14:textId="77777777" w:rsidR="00B25168" w:rsidRDefault="00B25168">
            <w:pPr>
              <w:rPr>
                <w:lang w:eastAsia="x-none"/>
              </w:rPr>
            </w:pPr>
          </w:p>
        </w:tc>
      </w:tr>
      <w:tr w:rsidR="00B25168" w14:paraId="617B7EC4" w14:textId="77777777">
        <w:tc>
          <w:tcPr>
            <w:tcW w:w="10313" w:type="dxa"/>
          </w:tcPr>
          <w:p w14:paraId="594086CF" w14:textId="77777777" w:rsidR="00FF6ADD" w:rsidRDefault="00FF6ADD">
            <w:pPr>
              <w:jc w:val="right"/>
              <w:rPr>
                <w:rFonts w:eastAsiaTheme="minorHAnsi" w:cstheme="minorBidi"/>
                <w:lang w:val="en-US" w:eastAsia="x-none"/>
              </w:rPr>
            </w:pPr>
            <w:r>
              <w:rPr>
                <w:rFonts w:eastAsiaTheme="minorHAnsi" w:cstheme="minorBidi"/>
                <w:lang w:val="en-US" w:eastAsia="x-none"/>
              </w:rPr>
              <w:t xml:space="preserve">Approved by </w:t>
            </w:r>
          </w:p>
          <w:p w14:paraId="589C7234" w14:textId="2042F3D1" w:rsidR="00FF6ADD" w:rsidRPr="00FF6ADD" w:rsidRDefault="00FF6ADD" w:rsidP="00FF6ADD">
            <w:pPr>
              <w:jc w:val="right"/>
              <w:rPr>
                <w:rFonts w:eastAsiaTheme="minorHAnsi" w:cstheme="minorBidi"/>
                <w:lang w:val="kk-KZ" w:eastAsia="x-none"/>
              </w:rPr>
            </w:pPr>
            <w:r w:rsidRPr="00FF6ADD">
              <w:rPr>
                <w:rFonts w:eastAsiaTheme="minorHAnsi" w:cstheme="minorBidi"/>
                <w:lang w:val="kk-KZ" w:eastAsia="x-none"/>
              </w:rPr>
              <w:t xml:space="preserve">Decision of the </w:t>
            </w:r>
            <w:r w:rsidR="00936524">
              <w:rPr>
                <w:rFonts w:eastAsiaTheme="minorHAnsi" w:cstheme="minorBidi"/>
                <w:lang w:val="en-US" w:eastAsia="x-none"/>
              </w:rPr>
              <w:t xml:space="preserve">Commission on </w:t>
            </w:r>
            <w:r w:rsidRPr="00FF6ADD">
              <w:rPr>
                <w:rFonts w:eastAsiaTheme="minorHAnsi" w:cstheme="minorBidi"/>
                <w:lang w:val="kk-KZ" w:eastAsia="x-none"/>
              </w:rPr>
              <w:t xml:space="preserve">Sustainable Development </w:t>
            </w:r>
          </w:p>
          <w:p w14:paraId="617B7EBE" w14:textId="3D1EDD64" w:rsidR="00B25168" w:rsidRPr="00FF6ADD" w:rsidRDefault="00FF6ADD">
            <w:pPr>
              <w:jc w:val="right"/>
              <w:rPr>
                <w:rFonts w:eastAsiaTheme="minorHAnsi" w:cstheme="minorBidi"/>
                <w:lang w:val="en-US" w:eastAsia="x-none"/>
              </w:rPr>
            </w:pPr>
            <w:r>
              <w:rPr>
                <w:rFonts w:eastAsiaTheme="minorHAnsi" w:cstheme="minorBidi"/>
                <w:lang w:val="en-US" w:eastAsia="x-none"/>
              </w:rPr>
              <w:t>No.</w:t>
            </w:r>
            <w:r w:rsidR="005E68AE" w:rsidRPr="0022097E">
              <w:rPr>
                <w:rFonts w:eastAsiaTheme="minorHAnsi" w:cstheme="minorBidi"/>
                <w:lang w:val="en-US" w:eastAsia="x-none"/>
              </w:rPr>
              <w:t xml:space="preserve">7 </w:t>
            </w:r>
            <w:r>
              <w:rPr>
                <w:rFonts w:eastAsiaTheme="minorHAnsi" w:cstheme="minorBidi"/>
                <w:lang w:val="en-US" w:eastAsia="x-none"/>
              </w:rPr>
              <w:t>dated 25 June</w:t>
            </w:r>
            <w:r w:rsidR="005E68AE" w:rsidRPr="0022097E">
              <w:rPr>
                <w:rFonts w:eastAsiaTheme="minorHAnsi" w:cstheme="minorBidi"/>
                <w:lang w:val="en-US" w:eastAsia="x-none"/>
              </w:rPr>
              <w:t xml:space="preserve"> 2025</w:t>
            </w:r>
          </w:p>
          <w:p w14:paraId="617B7EBF" w14:textId="77777777" w:rsidR="00B25168" w:rsidRPr="0022097E" w:rsidRDefault="00B25168">
            <w:pPr>
              <w:jc w:val="right"/>
              <w:rPr>
                <w:rFonts w:eastAsiaTheme="minorHAnsi" w:cstheme="minorBidi"/>
                <w:lang w:val="en-US" w:eastAsia="x-none"/>
              </w:rPr>
            </w:pPr>
          </w:p>
          <w:p w14:paraId="05C8B8AF" w14:textId="77777777" w:rsidR="00FF6ADD" w:rsidRDefault="00FF6ADD">
            <w:pPr>
              <w:jc w:val="right"/>
              <w:rPr>
                <w:rFonts w:eastAsiaTheme="minorHAnsi" w:cstheme="minorBidi"/>
                <w:lang w:val="en-US" w:eastAsia="x-none"/>
              </w:rPr>
            </w:pPr>
            <w:r>
              <w:rPr>
                <w:rFonts w:eastAsiaTheme="minorHAnsi" w:cstheme="minorBidi"/>
                <w:lang w:val="en-US" w:eastAsia="x-none"/>
              </w:rPr>
              <w:t xml:space="preserve">Authorized by </w:t>
            </w:r>
          </w:p>
          <w:p w14:paraId="342705CA" w14:textId="77777777" w:rsidR="00FF6ADD" w:rsidRDefault="00FF6ADD" w:rsidP="00FF6ADD">
            <w:pPr>
              <w:jc w:val="right"/>
              <w:rPr>
                <w:rFonts w:eastAsiaTheme="minorHAnsi" w:cstheme="minorBidi"/>
                <w:lang w:val="en-US" w:eastAsia="x-none"/>
              </w:rPr>
            </w:pPr>
            <w:r>
              <w:rPr>
                <w:rFonts w:eastAsiaTheme="minorHAnsi" w:cstheme="minorBidi"/>
                <w:lang w:val="en-US" w:eastAsia="x-none"/>
              </w:rPr>
              <w:t xml:space="preserve">Resolution of the Board of Directors </w:t>
            </w:r>
          </w:p>
          <w:p w14:paraId="52D5ED99" w14:textId="14544445" w:rsidR="00697F59" w:rsidRPr="00FF6ADD" w:rsidRDefault="00723021" w:rsidP="00697F59">
            <w:pPr>
              <w:jc w:val="right"/>
              <w:rPr>
                <w:rFonts w:eastAsiaTheme="minorHAnsi" w:cstheme="minorBidi"/>
                <w:lang w:val="en-US" w:eastAsia="x-none"/>
              </w:rPr>
            </w:pPr>
            <w:r w:rsidRPr="0022097E">
              <w:rPr>
                <w:rFonts w:eastAsiaTheme="minorHAnsi" w:cstheme="minorBidi"/>
                <w:lang w:val="en-US" w:eastAsia="x-none"/>
              </w:rPr>
              <w:t xml:space="preserve"> </w:t>
            </w:r>
            <w:r w:rsidR="00FF6ADD">
              <w:rPr>
                <w:rFonts w:eastAsiaTheme="minorHAnsi" w:cstheme="minorBidi"/>
                <w:lang w:val="en-US" w:eastAsia="x-none"/>
              </w:rPr>
              <w:t>No.</w:t>
            </w:r>
            <w:r w:rsidR="00697F59">
              <w:rPr>
                <w:rFonts w:eastAsiaTheme="minorHAnsi" w:cstheme="minorBidi"/>
                <w:lang w:val="kk-KZ" w:eastAsia="x-none"/>
              </w:rPr>
              <w:t xml:space="preserve"> 0730/1</w:t>
            </w:r>
            <w:r>
              <w:rPr>
                <w:rFonts w:eastAsiaTheme="minorHAnsi" w:cstheme="minorBidi"/>
                <w:lang w:eastAsia="x-none"/>
              </w:rPr>
              <w:t xml:space="preserve"> </w:t>
            </w:r>
            <w:r w:rsidR="00FF6ADD">
              <w:rPr>
                <w:rFonts w:eastAsiaTheme="minorHAnsi" w:cstheme="minorBidi"/>
                <w:lang w:val="en-US" w:eastAsia="x-none"/>
              </w:rPr>
              <w:t>dated</w:t>
            </w:r>
            <w:r>
              <w:rPr>
                <w:rFonts w:eastAsiaTheme="minorHAnsi" w:cstheme="minorBidi"/>
                <w:lang w:eastAsia="x-none"/>
              </w:rPr>
              <w:t xml:space="preserve"> </w:t>
            </w:r>
            <w:r w:rsidR="00697F59">
              <w:rPr>
                <w:rFonts w:eastAsiaTheme="minorHAnsi" w:cstheme="minorBidi"/>
                <w:lang w:val="kk-KZ" w:eastAsia="x-none"/>
              </w:rPr>
              <w:t>30</w:t>
            </w:r>
            <w:r w:rsidR="00697F59">
              <w:rPr>
                <w:rFonts w:eastAsiaTheme="minorHAnsi" w:cstheme="minorBidi"/>
                <w:lang w:val="en-US" w:eastAsia="x-none"/>
              </w:rPr>
              <w:t xml:space="preserve"> Ju</w:t>
            </w:r>
            <w:r w:rsidR="00697F59">
              <w:rPr>
                <w:rFonts w:eastAsiaTheme="minorHAnsi" w:cstheme="minorBidi"/>
                <w:lang w:val="en-US" w:eastAsia="x-none"/>
              </w:rPr>
              <w:t>ly</w:t>
            </w:r>
            <w:r w:rsidR="00697F59" w:rsidRPr="0022097E">
              <w:rPr>
                <w:rFonts w:eastAsiaTheme="minorHAnsi" w:cstheme="minorBidi"/>
                <w:lang w:val="en-US" w:eastAsia="x-none"/>
              </w:rPr>
              <w:t xml:space="preserve"> 2025</w:t>
            </w:r>
          </w:p>
          <w:p w14:paraId="617B7EC2" w14:textId="7408D63A" w:rsidR="00B25168" w:rsidRPr="00FF6ADD" w:rsidRDefault="00B25168" w:rsidP="00FF6ADD">
            <w:pPr>
              <w:jc w:val="right"/>
              <w:rPr>
                <w:rFonts w:eastAsiaTheme="minorHAnsi" w:cstheme="minorBidi"/>
                <w:lang w:val="en-US" w:eastAsia="x-none"/>
              </w:rPr>
            </w:pPr>
          </w:p>
          <w:p w14:paraId="617B7EC3" w14:textId="77777777" w:rsidR="00B25168" w:rsidRDefault="00B25168">
            <w:pPr>
              <w:jc w:val="right"/>
              <w:rPr>
                <w:rFonts w:eastAsiaTheme="minorHAnsi" w:cstheme="minorBidi"/>
                <w:lang w:eastAsia="x-none"/>
              </w:rPr>
            </w:pPr>
          </w:p>
        </w:tc>
      </w:tr>
    </w:tbl>
    <w:p w14:paraId="617B7EC5" w14:textId="77777777" w:rsidR="00B25168" w:rsidRDefault="00B25168"/>
    <w:tbl>
      <w:tblPr>
        <w:tblpPr w:leftFromText="180" w:rightFromText="180" w:vertAnchor="text" w:horzAnchor="margin" w:tblpY="612"/>
        <w:tblW w:w="10561" w:type="dxa"/>
        <w:tblLayout w:type="fixed"/>
        <w:tblLook w:val="01E0" w:firstRow="1" w:lastRow="1" w:firstColumn="1" w:lastColumn="1" w:noHBand="0" w:noVBand="0"/>
      </w:tblPr>
      <w:tblGrid>
        <w:gridCol w:w="10561"/>
      </w:tblGrid>
      <w:tr w:rsidR="00B25168" w14:paraId="617B7EC8" w14:textId="77777777">
        <w:trPr>
          <w:trHeight w:val="2058"/>
        </w:trPr>
        <w:tc>
          <w:tcPr>
            <w:tcW w:w="10561" w:type="dxa"/>
          </w:tcPr>
          <w:p w14:paraId="617B7EC6" w14:textId="77777777" w:rsidR="00B25168" w:rsidRDefault="00B25168">
            <w:pPr>
              <w:jc w:val="right"/>
              <w:rPr>
                <w:rFonts w:eastAsia="Calibri"/>
                <w:color w:val="000000"/>
                <w:szCs w:val="22"/>
                <w:lang w:eastAsia="zh-CN"/>
              </w:rPr>
            </w:pPr>
          </w:p>
          <w:p w14:paraId="617B7EC7" w14:textId="77777777" w:rsidR="00B25168" w:rsidRDefault="00B25168" w:rsidP="00697F59">
            <w:pPr>
              <w:jc w:val="right"/>
              <w:rPr>
                <w:rFonts w:eastAsia="Calibri"/>
                <w:color w:val="000000"/>
                <w:szCs w:val="22"/>
                <w:lang w:eastAsia="zh-CN"/>
              </w:rPr>
            </w:pPr>
          </w:p>
        </w:tc>
      </w:tr>
    </w:tbl>
    <w:p w14:paraId="617B7EC9" w14:textId="77777777" w:rsidR="00B25168" w:rsidRDefault="00B25168">
      <w:pPr>
        <w:tabs>
          <w:tab w:val="left" w:pos="0"/>
        </w:tabs>
        <w:jc w:val="center"/>
        <w:rPr>
          <w:rFonts w:eastAsia="Calibri"/>
          <w:b/>
          <w:sz w:val="22"/>
          <w:lang w:eastAsia="zh-CN"/>
        </w:rPr>
      </w:pPr>
    </w:p>
    <w:p w14:paraId="617B7ECA" w14:textId="77777777" w:rsidR="00B25168" w:rsidRDefault="00B25168">
      <w:pPr>
        <w:tabs>
          <w:tab w:val="left" w:pos="0"/>
        </w:tabs>
        <w:jc w:val="center"/>
        <w:rPr>
          <w:rFonts w:eastAsia="Calibri"/>
          <w:b/>
          <w:sz w:val="22"/>
          <w:lang w:eastAsia="zh-CN"/>
        </w:rPr>
      </w:pPr>
    </w:p>
    <w:p w14:paraId="617B7ECB" w14:textId="77777777" w:rsidR="00B25168" w:rsidRDefault="00B25168">
      <w:pPr>
        <w:tabs>
          <w:tab w:val="left" w:pos="0"/>
        </w:tabs>
        <w:jc w:val="center"/>
        <w:rPr>
          <w:rFonts w:eastAsia="Calibri"/>
          <w:b/>
          <w:sz w:val="22"/>
          <w:lang w:eastAsia="zh-CN"/>
        </w:rPr>
      </w:pPr>
    </w:p>
    <w:p w14:paraId="617B7ECC" w14:textId="77777777" w:rsidR="00B25168" w:rsidRDefault="00B25168">
      <w:pPr>
        <w:tabs>
          <w:tab w:val="left" w:pos="0"/>
        </w:tabs>
        <w:rPr>
          <w:rFonts w:eastAsia="Calibri"/>
          <w:b/>
          <w:sz w:val="22"/>
          <w:lang w:eastAsia="zh-CN"/>
        </w:rPr>
      </w:pPr>
    </w:p>
    <w:p w14:paraId="617B7ECD" w14:textId="77777777" w:rsidR="00B25168" w:rsidRDefault="00B25168">
      <w:pPr>
        <w:tabs>
          <w:tab w:val="left" w:pos="0"/>
        </w:tabs>
        <w:rPr>
          <w:rFonts w:eastAsia="Calibri"/>
          <w:b/>
          <w:lang w:eastAsia="zh-CN"/>
        </w:rPr>
      </w:pPr>
    </w:p>
    <w:p w14:paraId="617B7ECE" w14:textId="77777777" w:rsidR="00B25168" w:rsidRDefault="00B25168">
      <w:pPr>
        <w:tabs>
          <w:tab w:val="left" w:pos="0"/>
        </w:tabs>
        <w:rPr>
          <w:rFonts w:eastAsia="Calibri"/>
          <w:b/>
          <w:lang w:eastAsia="zh-CN"/>
        </w:rPr>
      </w:pPr>
    </w:p>
    <w:p w14:paraId="617B7ECF" w14:textId="77777777" w:rsidR="00B25168" w:rsidRDefault="00B25168">
      <w:pPr>
        <w:tabs>
          <w:tab w:val="left" w:pos="0"/>
        </w:tabs>
        <w:jc w:val="center"/>
        <w:rPr>
          <w:rFonts w:eastAsia="Calibri"/>
          <w:b/>
          <w:lang w:eastAsia="zh-CN"/>
        </w:rPr>
      </w:pPr>
    </w:p>
    <w:p w14:paraId="617B7ED0" w14:textId="7955A1BD" w:rsidR="00B25168" w:rsidRPr="00F5528A" w:rsidRDefault="00FF6ADD">
      <w:pPr>
        <w:tabs>
          <w:tab w:val="left" w:pos="0"/>
        </w:tabs>
        <w:jc w:val="center"/>
        <w:rPr>
          <w:rFonts w:eastAsia="Calibri"/>
          <w:b/>
          <w:lang w:val="en-US" w:eastAsia="zh-CN"/>
        </w:rPr>
      </w:pPr>
      <w:r w:rsidRPr="00363513">
        <w:rPr>
          <w:rFonts w:eastAsia="Calibri"/>
          <w:b/>
          <w:lang w:val="kk-KZ" w:eastAsia="zh-CN"/>
        </w:rPr>
        <w:t xml:space="preserve">JSC Bank CenterCredit </w:t>
      </w:r>
      <w:r w:rsidRPr="00F5528A">
        <w:rPr>
          <w:rFonts w:eastAsia="Calibri"/>
          <w:b/>
          <w:lang w:val="en-US" w:eastAsia="zh-CN"/>
        </w:rPr>
        <w:t>“</w:t>
      </w:r>
      <w:r>
        <w:rPr>
          <w:rFonts w:eastAsia="Calibri"/>
          <w:b/>
          <w:lang w:val="en-US" w:eastAsia="zh-CN"/>
        </w:rPr>
        <w:t>Green</w:t>
      </w:r>
      <w:r w:rsidRPr="00F5528A">
        <w:rPr>
          <w:rFonts w:eastAsia="Calibri"/>
          <w:b/>
          <w:lang w:val="en-US" w:eastAsia="zh-CN"/>
        </w:rPr>
        <w:t xml:space="preserve">” </w:t>
      </w:r>
      <w:r>
        <w:rPr>
          <w:rFonts w:eastAsia="Calibri"/>
          <w:b/>
          <w:lang w:val="en-US" w:eastAsia="zh-CN"/>
        </w:rPr>
        <w:t>Financ</w:t>
      </w:r>
      <w:r w:rsidR="00995E6F">
        <w:rPr>
          <w:rFonts w:eastAsia="Calibri"/>
          <w:b/>
          <w:lang w:val="en-US" w:eastAsia="zh-CN"/>
        </w:rPr>
        <w:t>ing</w:t>
      </w:r>
      <w:r w:rsidRPr="00F5528A">
        <w:rPr>
          <w:rFonts w:eastAsia="Calibri"/>
          <w:b/>
          <w:lang w:val="en-US" w:eastAsia="zh-CN"/>
        </w:rPr>
        <w:t xml:space="preserve"> </w:t>
      </w:r>
      <w:r>
        <w:rPr>
          <w:rFonts w:eastAsia="Calibri"/>
          <w:b/>
          <w:lang w:val="en-US" w:eastAsia="zh-CN"/>
        </w:rPr>
        <w:t>Polic</w:t>
      </w:r>
      <w:r w:rsidR="00F5528A">
        <w:rPr>
          <w:rFonts w:eastAsia="Calibri"/>
          <w:b/>
          <w:lang w:val="en-US" w:eastAsia="zh-CN"/>
        </w:rPr>
        <w:t>y</w:t>
      </w:r>
      <w:r w:rsidRPr="00F5528A">
        <w:rPr>
          <w:rFonts w:eastAsia="Calibri"/>
          <w:b/>
          <w:lang w:val="en-US" w:eastAsia="zh-CN"/>
        </w:rPr>
        <w:t xml:space="preserve"> </w:t>
      </w:r>
    </w:p>
    <w:p w14:paraId="617B7ED1" w14:textId="77777777" w:rsidR="00B25168" w:rsidRPr="00F5528A" w:rsidRDefault="00723021">
      <w:pPr>
        <w:spacing w:after="160" w:line="259" w:lineRule="auto"/>
        <w:rPr>
          <w:rFonts w:eastAsia="Calibri"/>
          <w:b/>
          <w:lang w:val="en-US" w:eastAsia="zh-CN"/>
        </w:rPr>
      </w:pPr>
      <w:r w:rsidRPr="00F5528A">
        <w:rPr>
          <w:lang w:val="en-US"/>
        </w:rPr>
        <w:br w:type="page"/>
      </w:r>
    </w:p>
    <w:p w14:paraId="617B7ED2" w14:textId="3A19A919" w:rsidR="00B25168" w:rsidRDefault="00723021">
      <w:pPr>
        <w:spacing w:after="160" w:line="259" w:lineRule="auto"/>
        <w:rPr>
          <w:rFonts w:eastAsia="Calibri"/>
          <w:bCs/>
          <w:lang w:eastAsia="zh-CN"/>
        </w:rPr>
      </w:pPr>
      <w:r w:rsidRPr="00F5528A">
        <w:rPr>
          <w:rFonts w:eastAsia="Calibri"/>
          <w:bCs/>
          <w:lang w:val="en-US" w:eastAsia="zh-CN"/>
        </w:rPr>
        <w:lastRenderedPageBreak/>
        <w:t xml:space="preserve">     </w:t>
      </w:r>
      <w:r w:rsidR="00FF6ADD">
        <w:rPr>
          <w:rFonts w:eastAsia="Calibri"/>
          <w:bCs/>
          <w:lang w:val="en-US" w:eastAsia="zh-CN"/>
        </w:rPr>
        <w:t>Content</w:t>
      </w:r>
      <w:r>
        <w:rPr>
          <w:rFonts w:eastAsia="Calibri"/>
          <w:bCs/>
          <w:lang w:eastAsia="zh-CN"/>
        </w:rPr>
        <w:t>:</w:t>
      </w:r>
    </w:p>
    <w:sdt>
      <w:sdtPr>
        <w:rPr>
          <w:rFonts w:ascii="Times New Roman" w:eastAsia="Times New Roman" w:hAnsi="Times New Roman" w:cs="Times New Roman"/>
          <w:color w:val="auto"/>
          <w:sz w:val="24"/>
          <w:szCs w:val="24"/>
        </w:rPr>
        <w:id w:val="-1513289473"/>
        <w:docPartObj>
          <w:docPartGallery w:val="Table of Contents"/>
          <w:docPartUnique/>
        </w:docPartObj>
      </w:sdtPr>
      <w:sdtContent>
        <w:p w14:paraId="617B7ED3" w14:textId="77777777" w:rsidR="00B25168" w:rsidRDefault="00B25168">
          <w:pPr>
            <w:pStyle w:val="aff"/>
            <w:rPr>
              <w:rFonts w:ascii="Times New Roman" w:hAnsi="Times New Roman" w:cs="Times New Roman"/>
              <w:b/>
              <w:bCs/>
              <w:color w:val="auto"/>
              <w:sz w:val="24"/>
              <w:szCs w:val="24"/>
            </w:rPr>
          </w:pPr>
        </w:p>
        <w:p w14:paraId="6056A53D" w14:textId="77777777" w:rsidR="001C3AE8" w:rsidRDefault="00723021">
          <w:pPr>
            <w:pStyle w:val="12"/>
            <w:rPr>
              <w:rFonts w:asciiTheme="minorHAnsi" w:eastAsiaTheme="minorEastAsia" w:hAnsiTheme="minorHAnsi" w:cstheme="minorBidi"/>
              <w:noProof/>
              <w:sz w:val="22"/>
              <w:szCs w:val="22"/>
            </w:rPr>
          </w:pPr>
          <w:r>
            <w:fldChar w:fldCharType="begin"/>
          </w:r>
          <w:r>
            <w:rPr>
              <w:rStyle w:val="af9"/>
              <w:webHidden/>
            </w:rPr>
            <w:instrText xml:space="preserve"> TOC \z \o "1-3" \u \h</w:instrText>
          </w:r>
          <w:r>
            <w:rPr>
              <w:rStyle w:val="af9"/>
            </w:rPr>
            <w:fldChar w:fldCharType="separate"/>
          </w:r>
          <w:hyperlink w:anchor="_Toc203989735" w:history="1">
            <w:r w:rsidR="001C3AE8" w:rsidRPr="00E2448E">
              <w:rPr>
                <w:rStyle w:val="a7"/>
                <w:rFonts w:eastAsiaTheme="majorEastAsia"/>
                <w:noProof/>
                <w:lang w:val="en-US"/>
              </w:rPr>
              <w:t>Chapter</w:t>
            </w:r>
            <w:r w:rsidR="001C3AE8" w:rsidRPr="00E2448E">
              <w:rPr>
                <w:rStyle w:val="a7"/>
                <w:rFonts w:eastAsiaTheme="majorEastAsia"/>
                <w:noProof/>
              </w:rPr>
              <w:t xml:space="preserve"> 1. </w:t>
            </w:r>
            <w:r w:rsidR="001C3AE8" w:rsidRPr="00E2448E">
              <w:rPr>
                <w:rStyle w:val="a7"/>
                <w:rFonts w:eastAsiaTheme="majorEastAsia"/>
                <w:noProof/>
                <w:lang w:val="en-US"/>
              </w:rPr>
              <w:t>General Provisions</w:t>
            </w:r>
            <w:r w:rsidR="001C3AE8">
              <w:rPr>
                <w:noProof/>
                <w:webHidden/>
              </w:rPr>
              <w:tab/>
            </w:r>
            <w:r w:rsidR="001C3AE8">
              <w:rPr>
                <w:noProof/>
                <w:webHidden/>
              </w:rPr>
              <w:fldChar w:fldCharType="begin"/>
            </w:r>
            <w:r w:rsidR="001C3AE8">
              <w:rPr>
                <w:noProof/>
                <w:webHidden/>
              </w:rPr>
              <w:instrText xml:space="preserve"> PAGEREF _Toc203989735 \h </w:instrText>
            </w:r>
            <w:r w:rsidR="001C3AE8">
              <w:rPr>
                <w:noProof/>
                <w:webHidden/>
              </w:rPr>
            </w:r>
            <w:r w:rsidR="001C3AE8">
              <w:rPr>
                <w:noProof/>
                <w:webHidden/>
              </w:rPr>
              <w:fldChar w:fldCharType="separate"/>
            </w:r>
            <w:r w:rsidR="001C3AE8">
              <w:rPr>
                <w:noProof/>
                <w:webHidden/>
              </w:rPr>
              <w:t>2</w:t>
            </w:r>
            <w:r w:rsidR="001C3AE8">
              <w:rPr>
                <w:noProof/>
                <w:webHidden/>
              </w:rPr>
              <w:fldChar w:fldCharType="end"/>
            </w:r>
          </w:hyperlink>
        </w:p>
        <w:p w14:paraId="770DFE95" w14:textId="77777777" w:rsidR="001C3AE8" w:rsidRDefault="001C3AE8">
          <w:pPr>
            <w:pStyle w:val="12"/>
            <w:rPr>
              <w:rFonts w:asciiTheme="minorHAnsi" w:eastAsiaTheme="minorEastAsia" w:hAnsiTheme="minorHAnsi" w:cstheme="minorBidi"/>
              <w:noProof/>
              <w:sz w:val="22"/>
              <w:szCs w:val="22"/>
            </w:rPr>
          </w:pPr>
          <w:hyperlink w:anchor="_Toc203989736" w:history="1">
            <w:r w:rsidRPr="00E2448E">
              <w:rPr>
                <w:rStyle w:val="a7"/>
                <w:rFonts w:eastAsiaTheme="majorEastAsia"/>
                <w:noProof/>
                <w:lang w:val="en-US"/>
              </w:rPr>
              <w:t>Chapter 2: Terms and Abbreviations</w:t>
            </w:r>
            <w:r>
              <w:rPr>
                <w:noProof/>
                <w:webHidden/>
              </w:rPr>
              <w:tab/>
            </w:r>
            <w:r>
              <w:rPr>
                <w:noProof/>
                <w:webHidden/>
              </w:rPr>
              <w:fldChar w:fldCharType="begin"/>
            </w:r>
            <w:r>
              <w:rPr>
                <w:noProof/>
                <w:webHidden/>
              </w:rPr>
              <w:instrText xml:space="preserve"> PAGEREF _Toc203989736 \h </w:instrText>
            </w:r>
            <w:r>
              <w:rPr>
                <w:noProof/>
                <w:webHidden/>
              </w:rPr>
            </w:r>
            <w:r>
              <w:rPr>
                <w:noProof/>
                <w:webHidden/>
              </w:rPr>
              <w:fldChar w:fldCharType="separate"/>
            </w:r>
            <w:r>
              <w:rPr>
                <w:noProof/>
                <w:webHidden/>
              </w:rPr>
              <w:t>3</w:t>
            </w:r>
            <w:r>
              <w:rPr>
                <w:noProof/>
                <w:webHidden/>
              </w:rPr>
              <w:fldChar w:fldCharType="end"/>
            </w:r>
          </w:hyperlink>
        </w:p>
        <w:p w14:paraId="6EEC89C5" w14:textId="77777777" w:rsidR="001C3AE8" w:rsidRDefault="001C3AE8">
          <w:pPr>
            <w:pStyle w:val="12"/>
            <w:rPr>
              <w:rFonts w:asciiTheme="minorHAnsi" w:eastAsiaTheme="minorEastAsia" w:hAnsiTheme="minorHAnsi" w:cstheme="minorBidi"/>
              <w:noProof/>
              <w:sz w:val="22"/>
              <w:szCs w:val="22"/>
            </w:rPr>
          </w:pPr>
          <w:hyperlink w:anchor="_Toc203989737" w:history="1">
            <w:r w:rsidRPr="00E2448E">
              <w:rPr>
                <w:rStyle w:val="a7"/>
                <w:rFonts w:eastAsiaTheme="majorEastAsia"/>
                <w:noProof/>
                <w:lang w:val="en-US"/>
              </w:rPr>
              <w:t>Chapter 3: The Bank’s Sustainable Profile</w:t>
            </w:r>
            <w:r>
              <w:rPr>
                <w:noProof/>
                <w:webHidden/>
              </w:rPr>
              <w:tab/>
            </w:r>
            <w:r>
              <w:rPr>
                <w:noProof/>
                <w:webHidden/>
              </w:rPr>
              <w:fldChar w:fldCharType="begin"/>
            </w:r>
            <w:r>
              <w:rPr>
                <w:noProof/>
                <w:webHidden/>
              </w:rPr>
              <w:instrText xml:space="preserve"> PAGEREF _Toc203989737 \h </w:instrText>
            </w:r>
            <w:r>
              <w:rPr>
                <w:noProof/>
                <w:webHidden/>
              </w:rPr>
            </w:r>
            <w:r>
              <w:rPr>
                <w:noProof/>
                <w:webHidden/>
              </w:rPr>
              <w:fldChar w:fldCharType="separate"/>
            </w:r>
            <w:r>
              <w:rPr>
                <w:noProof/>
                <w:webHidden/>
              </w:rPr>
              <w:t>3</w:t>
            </w:r>
            <w:r>
              <w:rPr>
                <w:noProof/>
                <w:webHidden/>
              </w:rPr>
              <w:fldChar w:fldCharType="end"/>
            </w:r>
          </w:hyperlink>
        </w:p>
        <w:p w14:paraId="036E3D49" w14:textId="77777777" w:rsidR="001C3AE8" w:rsidRDefault="001C3AE8">
          <w:pPr>
            <w:pStyle w:val="12"/>
            <w:rPr>
              <w:rFonts w:asciiTheme="minorHAnsi" w:eastAsiaTheme="minorEastAsia" w:hAnsiTheme="minorHAnsi" w:cstheme="minorBidi"/>
              <w:noProof/>
              <w:sz w:val="22"/>
              <w:szCs w:val="22"/>
            </w:rPr>
          </w:pPr>
          <w:hyperlink w:anchor="_Toc203989738" w:history="1">
            <w:r w:rsidRPr="00E2448E">
              <w:rPr>
                <w:rStyle w:val="a7"/>
                <w:rFonts w:eastAsiaTheme="majorEastAsia"/>
                <w:noProof/>
                <w:lang w:val="en-US"/>
              </w:rPr>
              <w:t>Chapter 4. Use of Proceeds</w:t>
            </w:r>
            <w:r>
              <w:rPr>
                <w:noProof/>
                <w:webHidden/>
              </w:rPr>
              <w:tab/>
            </w:r>
            <w:r>
              <w:rPr>
                <w:noProof/>
                <w:webHidden/>
              </w:rPr>
              <w:fldChar w:fldCharType="begin"/>
            </w:r>
            <w:r>
              <w:rPr>
                <w:noProof/>
                <w:webHidden/>
              </w:rPr>
              <w:instrText xml:space="preserve"> PAGEREF _Toc203989738 \h </w:instrText>
            </w:r>
            <w:r>
              <w:rPr>
                <w:noProof/>
                <w:webHidden/>
              </w:rPr>
            </w:r>
            <w:r>
              <w:rPr>
                <w:noProof/>
                <w:webHidden/>
              </w:rPr>
              <w:fldChar w:fldCharType="separate"/>
            </w:r>
            <w:r>
              <w:rPr>
                <w:noProof/>
                <w:webHidden/>
              </w:rPr>
              <w:t>5</w:t>
            </w:r>
            <w:r>
              <w:rPr>
                <w:noProof/>
                <w:webHidden/>
              </w:rPr>
              <w:fldChar w:fldCharType="end"/>
            </w:r>
          </w:hyperlink>
        </w:p>
        <w:p w14:paraId="3731D098" w14:textId="57FEA77D" w:rsidR="001C3AE8" w:rsidRDefault="001C3AE8">
          <w:pPr>
            <w:pStyle w:val="22"/>
            <w:rPr>
              <w:rFonts w:asciiTheme="minorHAnsi" w:eastAsiaTheme="minorEastAsia" w:hAnsiTheme="minorHAnsi" w:cstheme="minorBidi"/>
              <w:noProof/>
              <w:sz w:val="22"/>
              <w:szCs w:val="22"/>
            </w:rPr>
          </w:pPr>
          <w:hyperlink w:anchor="_Toc203989739" w:history="1">
            <w:r>
              <w:rPr>
                <w:rStyle w:val="a7"/>
                <w:rFonts w:eastAsiaTheme="minorHAnsi"/>
                <w:noProof/>
                <w:lang w:val="kk-KZ" w:eastAsia="en-US"/>
              </w:rPr>
              <w:t xml:space="preserve">4.1. Exclusion </w:t>
            </w:r>
            <w:r>
              <w:rPr>
                <w:rStyle w:val="a7"/>
                <w:rFonts w:eastAsiaTheme="minorHAnsi"/>
                <w:noProof/>
                <w:lang w:val="en-US" w:eastAsia="en-US"/>
              </w:rPr>
              <w:t>L</w:t>
            </w:r>
            <w:r w:rsidRPr="00E2448E">
              <w:rPr>
                <w:rStyle w:val="a7"/>
                <w:rFonts w:eastAsiaTheme="minorHAnsi"/>
                <w:noProof/>
                <w:lang w:val="kk-KZ" w:eastAsia="en-US"/>
              </w:rPr>
              <w:t>ist</w:t>
            </w:r>
            <w:r>
              <w:rPr>
                <w:noProof/>
                <w:webHidden/>
              </w:rPr>
              <w:tab/>
            </w:r>
            <w:r>
              <w:rPr>
                <w:noProof/>
                <w:webHidden/>
              </w:rPr>
              <w:fldChar w:fldCharType="begin"/>
            </w:r>
            <w:r>
              <w:rPr>
                <w:noProof/>
                <w:webHidden/>
              </w:rPr>
              <w:instrText xml:space="preserve"> PAGEREF _Toc203989739 \h </w:instrText>
            </w:r>
            <w:r>
              <w:rPr>
                <w:noProof/>
                <w:webHidden/>
              </w:rPr>
            </w:r>
            <w:r>
              <w:rPr>
                <w:noProof/>
                <w:webHidden/>
              </w:rPr>
              <w:fldChar w:fldCharType="separate"/>
            </w:r>
            <w:r>
              <w:rPr>
                <w:noProof/>
                <w:webHidden/>
              </w:rPr>
              <w:t>7</w:t>
            </w:r>
            <w:r>
              <w:rPr>
                <w:noProof/>
                <w:webHidden/>
              </w:rPr>
              <w:fldChar w:fldCharType="end"/>
            </w:r>
          </w:hyperlink>
        </w:p>
        <w:p w14:paraId="0D1C1E1B" w14:textId="77777777" w:rsidR="001C3AE8" w:rsidRDefault="001C3AE8">
          <w:pPr>
            <w:pStyle w:val="12"/>
            <w:rPr>
              <w:rFonts w:asciiTheme="minorHAnsi" w:eastAsiaTheme="minorEastAsia" w:hAnsiTheme="minorHAnsi" w:cstheme="minorBidi"/>
              <w:noProof/>
              <w:sz w:val="22"/>
              <w:szCs w:val="22"/>
            </w:rPr>
          </w:pPr>
          <w:hyperlink w:anchor="_Toc203989740" w:history="1">
            <w:r w:rsidRPr="00E2448E">
              <w:rPr>
                <w:rStyle w:val="a7"/>
                <w:rFonts w:eastAsiaTheme="majorEastAsia"/>
                <w:noProof/>
                <w:lang w:val="en-US" w:eastAsia="en-US"/>
              </w:rPr>
              <w:t>Chapter 7. Reporting</w:t>
            </w:r>
            <w:r>
              <w:rPr>
                <w:noProof/>
                <w:webHidden/>
              </w:rPr>
              <w:tab/>
            </w:r>
            <w:r>
              <w:rPr>
                <w:noProof/>
                <w:webHidden/>
              </w:rPr>
              <w:fldChar w:fldCharType="begin"/>
            </w:r>
            <w:r>
              <w:rPr>
                <w:noProof/>
                <w:webHidden/>
              </w:rPr>
              <w:instrText xml:space="preserve"> PAGEREF _Toc203989740 \h </w:instrText>
            </w:r>
            <w:r>
              <w:rPr>
                <w:noProof/>
                <w:webHidden/>
              </w:rPr>
            </w:r>
            <w:r>
              <w:rPr>
                <w:noProof/>
                <w:webHidden/>
              </w:rPr>
              <w:fldChar w:fldCharType="separate"/>
            </w:r>
            <w:r>
              <w:rPr>
                <w:noProof/>
                <w:webHidden/>
              </w:rPr>
              <w:t>9</w:t>
            </w:r>
            <w:r>
              <w:rPr>
                <w:noProof/>
                <w:webHidden/>
              </w:rPr>
              <w:fldChar w:fldCharType="end"/>
            </w:r>
          </w:hyperlink>
        </w:p>
        <w:p w14:paraId="0ABB9ED8" w14:textId="77777777" w:rsidR="001C3AE8" w:rsidRDefault="001C3AE8">
          <w:pPr>
            <w:pStyle w:val="12"/>
            <w:rPr>
              <w:rFonts w:asciiTheme="minorHAnsi" w:eastAsiaTheme="minorEastAsia" w:hAnsiTheme="minorHAnsi" w:cstheme="minorBidi"/>
              <w:noProof/>
              <w:sz w:val="22"/>
              <w:szCs w:val="22"/>
            </w:rPr>
          </w:pPr>
          <w:hyperlink w:anchor="_Toc203989741" w:history="1">
            <w:r w:rsidRPr="00E2448E">
              <w:rPr>
                <w:rStyle w:val="a7"/>
                <w:rFonts w:eastAsiaTheme="majorEastAsia"/>
                <w:noProof/>
                <w:lang w:val="en-US" w:eastAsia="en-US"/>
              </w:rPr>
              <w:t>Chapter 8. External Evaluation</w:t>
            </w:r>
            <w:r>
              <w:rPr>
                <w:noProof/>
                <w:webHidden/>
              </w:rPr>
              <w:tab/>
            </w:r>
            <w:r>
              <w:rPr>
                <w:noProof/>
                <w:webHidden/>
              </w:rPr>
              <w:fldChar w:fldCharType="begin"/>
            </w:r>
            <w:r>
              <w:rPr>
                <w:noProof/>
                <w:webHidden/>
              </w:rPr>
              <w:instrText xml:space="preserve"> PAGEREF _Toc203989741 \h </w:instrText>
            </w:r>
            <w:r>
              <w:rPr>
                <w:noProof/>
                <w:webHidden/>
              </w:rPr>
            </w:r>
            <w:r>
              <w:rPr>
                <w:noProof/>
                <w:webHidden/>
              </w:rPr>
              <w:fldChar w:fldCharType="separate"/>
            </w:r>
            <w:r>
              <w:rPr>
                <w:noProof/>
                <w:webHidden/>
              </w:rPr>
              <w:t>11</w:t>
            </w:r>
            <w:r>
              <w:rPr>
                <w:noProof/>
                <w:webHidden/>
              </w:rPr>
              <w:fldChar w:fldCharType="end"/>
            </w:r>
          </w:hyperlink>
        </w:p>
        <w:p w14:paraId="5AC97E50" w14:textId="77777777" w:rsidR="001C3AE8" w:rsidRDefault="001C3AE8">
          <w:pPr>
            <w:pStyle w:val="12"/>
            <w:rPr>
              <w:rFonts w:asciiTheme="minorHAnsi" w:eastAsiaTheme="minorEastAsia" w:hAnsiTheme="minorHAnsi" w:cstheme="minorBidi"/>
              <w:noProof/>
              <w:sz w:val="22"/>
              <w:szCs w:val="22"/>
            </w:rPr>
          </w:pPr>
          <w:hyperlink w:anchor="_Toc203989742" w:history="1">
            <w:r w:rsidRPr="00E2448E">
              <w:rPr>
                <w:rStyle w:val="a7"/>
                <w:rFonts w:eastAsiaTheme="majorEastAsia"/>
                <w:noProof/>
                <w:lang w:val="en-US" w:eastAsia="en-US"/>
              </w:rPr>
              <w:t>Chapter 9. Final Provisi</w:t>
            </w:r>
            <w:r w:rsidRPr="00E2448E">
              <w:rPr>
                <w:rStyle w:val="a7"/>
                <w:rFonts w:eastAsiaTheme="majorEastAsia"/>
                <w:noProof/>
                <w:lang w:val="en-US" w:eastAsia="en-US"/>
              </w:rPr>
              <w:t>o</w:t>
            </w:r>
            <w:r w:rsidRPr="00E2448E">
              <w:rPr>
                <w:rStyle w:val="a7"/>
                <w:rFonts w:eastAsiaTheme="majorEastAsia"/>
                <w:noProof/>
                <w:lang w:val="en-US" w:eastAsia="en-US"/>
              </w:rPr>
              <w:t>ns</w:t>
            </w:r>
            <w:r>
              <w:rPr>
                <w:noProof/>
                <w:webHidden/>
              </w:rPr>
              <w:tab/>
            </w:r>
            <w:r>
              <w:rPr>
                <w:noProof/>
                <w:webHidden/>
              </w:rPr>
              <w:fldChar w:fldCharType="begin"/>
            </w:r>
            <w:r>
              <w:rPr>
                <w:noProof/>
                <w:webHidden/>
              </w:rPr>
              <w:instrText xml:space="preserve"> PAGEREF _Toc203989742 \h </w:instrText>
            </w:r>
            <w:r>
              <w:rPr>
                <w:noProof/>
                <w:webHidden/>
              </w:rPr>
            </w:r>
            <w:r>
              <w:rPr>
                <w:noProof/>
                <w:webHidden/>
              </w:rPr>
              <w:fldChar w:fldCharType="separate"/>
            </w:r>
            <w:r>
              <w:rPr>
                <w:noProof/>
                <w:webHidden/>
              </w:rPr>
              <w:t>11</w:t>
            </w:r>
            <w:r>
              <w:rPr>
                <w:noProof/>
                <w:webHidden/>
              </w:rPr>
              <w:fldChar w:fldCharType="end"/>
            </w:r>
          </w:hyperlink>
        </w:p>
        <w:p w14:paraId="7EFFA597" w14:textId="77777777" w:rsidR="001C3AE8" w:rsidRDefault="001C3AE8">
          <w:pPr>
            <w:pStyle w:val="22"/>
            <w:rPr>
              <w:rFonts w:asciiTheme="minorHAnsi" w:eastAsiaTheme="minorEastAsia" w:hAnsiTheme="minorHAnsi" w:cstheme="minorBidi"/>
              <w:noProof/>
              <w:sz w:val="22"/>
              <w:szCs w:val="22"/>
            </w:rPr>
          </w:pPr>
          <w:hyperlink w:anchor="_Toc203989743" w:history="1">
            <w:r w:rsidRPr="00E2448E">
              <w:rPr>
                <w:rStyle w:val="a7"/>
                <w:rFonts w:eastAsiaTheme="majorEastAsia"/>
                <w:noProof/>
                <w:lang w:val="en-US" w:eastAsia="en-US"/>
              </w:rPr>
              <w:t xml:space="preserve">Annex </w:t>
            </w:r>
            <w:r w:rsidRPr="00E2448E">
              <w:rPr>
                <w:rStyle w:val="a7"/>
                <w:rFonts w:eastAsiaTheme="majorEastAsia"/>
                <w:noProof/>
                <w:lang w:eastAsia="en-US"/>
              </w:rPr>
              <w:t>1</w:t>
            </w:r>
            <w:r>
              <w:rPr>
                <w:noProof/>
                <w:webHidden/>
              </w:rPr>
              <w:tab/>
            </w:r>
            <w:r>
              <w:rPr>
                <w:noProof/>
                <w:webHidden/>
              </w:rPr>
              <w:fldChar w:fldCharType="begin"/>
            </w:r>
            <w:r>
              <w:rPr>
                <w:noProof/>
                <w:webHidden/>
              </w:rPr>
              <w:instrText xml:space="preserve"> PAGEREF _Toc203989743 \h </w:instrText>
            </w:r>
            <w:r>
              <w:rPr>
                <w:noProof/>
                <w:webHidden/>
              </w:rPr>
            </w:r>
            <w:r>
              <w:rPr>
                <w:noProof/>
                <w:webHidden/>
              </w:rPr>
              <w:fldChar w:fldCharType="separate"/>
            </w:r>
            <w:r>
              <w:rPr>
                <w:noProof/>
                <w:webHidden/>
              </w:rPr>
              <w:t>12</w:t>
            </w:r>
            <w:r>
              <w:rPr>
                <w:noProof/>
                <w:webHidden/>
              </w:rPr>
              <w:fldChar w:fldCharType="end"/>
            </w:r>
          </w:hyperlink>
        </w:p>
        <w:p w14:paraId="617B7EE0" w14:textId="77777777" w:rsidR="00B25168" w:rsidRDefault="00723021">
          <w:pPr>
            <w:pStyle w:val="22"/>
            <w:rPr>
              <w:rFonts w:asciiTheme="minorHAnsi" w:eastAsiaTheme="minorEastAsia" w:hAnsiTheme="minorHAnsi" w:cstheme="minorBidi"/>
              <w:kern w:val="2"/>
              <w14:ligatures w14:val="standardContextual"/>
            </w:rPr>
          </w:pPr>
          <w:r>
            <w:rPr>
              <w:rStyle w:val="af9"/>
            </w:rPr>
            <w:fldChar w:fldCharType="end"/>
          </w:r>
        </w:p>
      </w:sdtContent>
    </w:sdt>
    <w:p w14:paraId="617B7EE1" w14:textId="77777777" w:rsidR="00B25168" w:rsidRDefault="00B25168"/>
    <w:p w14:paraId="617B7EE2" w14:textId="77777777" w:rsidR="00B25168" w:rsidRDefault="00B25168">
      <w:pPr>
        <w:tabs>
          <w:tab w:val="left" w:pos="0"/>
        </w:tabs>
        <w:ind w:right="424"/>
        <w:jc w:val="both"/>
        <w:rPr>
          <w:rFonts w:eastAsia="Calibri"/>
          <w:b/>
          <w:lang w:eastAsia="zh-CN"/>
        </w:rPr>
      </w:pPr>
    </w:p>
    <w:p w14:paraId="617B7EE3" w14:textId="6B2C2F25" w:rsidR="00B25168" w:rsidRPr="00FF6ADD" w:rsidRDefault="00FF6ADD">
      <w:pPr>
        <w:pStyle w:val="1"/>
        <w:rPr>
          <w:lang w:val="en-US"/>
        </w:rPr>
      </w:pPr>
      <w:bookmarkStart w:id="0" w:name="_Toc135038382"/>
      <w:bookmarkStart w:id="1" w:name="_Toc138338999"/>
      <w:bookmarkStart w:id="2" w:name="_Toc139468088"/>
      <w:bookmarkStart w:id="3" w:name="_Toc139468231"/>
      <w:bookmarkStart w:id="4" w:name="_Toc140151304"/>
      <w:bookmarkStart w:id="5" w:name="_Toc140151441"/>
      <w:bookmarkStart w:id="6" w:name="_Toc140151870"/>
      <w:bookmarkStart w:id="7" w:name="_Toc140151894"/>
      <w:bookmarkStart w:id="8" w:name="_Toc140152145"/>
      <w:bookmarkStart w:id="9" w:name="_Toc149232894"/>
      <w:bookmarkStart w:id="10" w:name="_Toc180407828"/>
      <w:bookmarkStart w:id="11" w:name="_Toc203989735"/>
      <w:r>
        <w:rPr>
          <w:lang w:val="en-US"/>
        </w:rPr>
        <w:t>Chapter</w:t>
      </w:r>
      <w:r w:rsidR="00723021" w:rsidRPr="00697F59">
        <w:rPr>
          <w:lang w:val="en-US"/>
        </w:rPr>
        <w:t xml:space="preserve"> 1. </w:t>
      </w:r>
      <w:bookmarkEnd w:id="0"/>
      <w:bookmarkEnd w:id="1"/>
      <w:bookmarkEnd w:id="2"/>
      <w:bookmarkEnd w:id="3"/>
      <w:bookmarkEnd w:id="4"/>
      <w:bookmarkEnd w:id="5"/>
      <w:bookmarkEnd w:id="6"/>
      <w:bookmarkEnd w:id="7"/>
      <w:bookmarkEnd w:id="8"/>
      <w:bookmarkEnd w:id="9"/>
      <w:bookmarkEnd w:id="10"/>
      <w:r>
        <w:rPr>
          <w:lang w:val="en-US"/>
        </w:rPr>
        <w:t>General Provisions</w:t>
      </w:r>
      <w:bookmarkEnd w:id="11"/>
      <w:r>
        <w:rPr>
          <w:lang w:val="en-US"/>
        </w:rPr>
        <w:t xml:space="preserve"> </w:t>
      </w:r>
    </w:p>
    <w:p w14:paraId="617B7EE4" w14:textId="2E7505EC" w:rsidR="00B25168" w:rsidRDefault="00114BAD" w:rsidP="00697F59">
      <w:pPr>
        <w:pStyle w:val="Default"/>
        <w:numPr>
          <w:ilvl w:val="0"/>
          <w:numId w:val="34"/>
        </w:numPr>
        <w:tabs>
          <w:tab w:val="left" w:pos="284"/>
        </w:tabs>
        <w:ind w:left="0" w:firstLine="0"/>
        <w:jc w:val="both"/>
        <w:rPr>
          <w:rFonts w:cstheme="minorBidi"/>
          <w:color w:val="auto"/>
          <w:szCs w:val="22"/>
          <w:lang w:val="kk-KZ"/>
        </w:rPr>
      </w:pPr>
      <w:r w:rsidRPr="00F92932">
        <w:rPr>
          <w:lang w:val="en-US"/>
        </w:rPr>
        <w:t>JSC Bank CenterCredit Green Financ</w:t>
      </w:r>
      <w:r>
        <w:rPr>
          <w:lang w:val="en-US"/>
        </w:rPr>
        <w:t xml:space="preserve">ing </w:t>
      </w:r>
      <w:r w:rsidRPr="00F92932">
        <w:rPr>
          <w:lang w:val="en-US"/>
        </w:rPr>
        <w:t xml:space="preserve">Policy (the Policy) </w:t>
      </w:r>
      <w:r>
        <w:rPr>
          <w:lang w:val="en-US"/>
        </w:rPr>
        <w:t xml:space="preserve">outlines </w:t>
      </w:r>
      <w:r w:rsidRPr="00F92932">
        <w:rPr>
          <w:lang w:val="en-US"/>
        </w:rPr>
        <w:t xml:space="preserve"> general provisions, directions, basic principles, </w:t>
      </w:r>
      <w:r>
        <w:rPr>
          <w:lang w:val="en-US"/>
        </w:rPr>
        <w:t>targets</w:t>
      </w:r>
      <w:r w:rsidRPr="00F92932">
        <w:rPr>
          <w:lang w:val="en-US"/>
        </w:rPr>
        <w:t xml:space="preserve"> and objectives of JSC Bank CenterCredit (the Bank) when carrying out activities in the field of using </w:t>
      </w:r>
      <w:r>
        <w:rPr>
          <w:lang w:val="en-US"/>
        </w:rPr>
        <w:t>proceeds</w:t>
      </w:r>
      <w:r w:rsidRPr="00F92932">
        <w:rPr>
          <w:lang w:val="en-US"/>
        </w:rPr>
        <w:t xml:space="preserve"> from</w:t>
      </w:r>
      <w:r>
        <w:rPr>
          <w:lang w:val="en-US"/>
        </w:rPr>
        <w:t xml:space="preserve"> “</w:t>
      </w:r>
      <w:r w:rsidRPr="00F92932">
        <w:rPr>
          <w:lang w:val="en-US"/>
        </w:rPr>
        <w:t>green</w:t>
      </w:r>
      <w:r>
        <w:rPr>
          <w:lang w:val="en-US"/>
        </w:rPr>
        <w:t>”</w:t>
      </w:r>
      <w:r w:rsidRPr="00F92932">
        <w:rPr>
          <w:lang w:val="en-US"/>
        </w:rPr>
        <w:t xml:space="preserve"> bonds</w:t>
      </w:r>
      <w:r>
        <w:rPr>
          <w:lang w:val="en-US"/>
        </w:rPr>
        <w:t xml:space="preserve"> issue</w:t>
      </w:r>
      <w:r w:rsidR="00723021" w:rsidRPr="00114BAD">
        <w:rPr>
          <w:rFonts w:cstheme="minorBidi"/>
          <w:color w:val="auto"/>
          <w:szCs w:val="22"/>
          <w:lang w:val="en-US"/>
        </w:rPr>
        <w:t>.</w:t>
      </w:r>
    </w:p>
    <w:p w14:paraId="1EF85C7D" w14:textId="409689DB" w:rsidR="00114BAD" w:rsidRPr="00F92932" w:rsidRDefault="00114BAD" w:rsidP="00697F59">
      <w:pPr>
        <w:pStyle w:val="Default"/>
        <w:numPr>
          <w:ilvl w:val="0"/>
          <w:numId w:val="34"/>
        </w:numPr>
        <w:tabs>
          <w:tab w:val="left" w:pos="284"/>
        </w:tabs>
        <w:ind w:left="0" w:firstLine="0"/>
        <w:jc w:val="both"/>
        <w:rPr>
          <w:lang w:val="en-US"/>
        </w:rPr>
      </w:pPr>
      <w:r w:rsidRPr="00F92932">
        <w:rPr>
          <w:lang w:val="en-US"/>
        </w:rPr>
        <w:t>The Policy</w:t>
      </w:r>
      <w:r>
        <w:rPr>
          <w:lang w:val="en-US"/>
        </w:rPr>
        <w:t xml:space="preserve"> </w:t>
      </w:r>
      <w:r w:rsidR="001C3AE8">
        <w:rPr>
          <w:lang w:val="en-US"/>
        </w:rPr>
        <w:t>has been</w:t>
      </w:r>
      <w:r>
        <w:rPr>
          <w:lang w:val="en-US"/>
        </w:rPr>
        <w:t xml:space="preserve"> </w:t>
      </w:r>
      <w:r w:rsidRPr="00F92932">
        <w:rPr>
          <w:lang w:val="en-US"/>
        </w:rPr>
        <w:t xml:space="preserve">developed </w:t>
      </w:r>
      <w:r>
        <w:rPr>
          <w:lang w:val="en-US"/>
        </w:rPr>
        <w:t>in accordance with</w:t>
      </w:r>
      <w:r w:rsidRPr="00F92932">
        <w:rPr>
          <w:lang w:val="en-US"/>
        </w:rPr>
        <w:t xml:space="preserve"> the recommendations specified in the Green Bond Principles (GBP) </w:t>
      </w:r>
      <w:r>
        <w:rPr>
          <w:lang w:val="en-US"/>
        </w:rPr>
        <w:t>regulated</w:t>
      </w:r>
      <w:r w:rsidRPr="00F92932">
        <w:rPr>
          <w:lang w:val="en-US"/>
        </w:rPr>
        <w:t xml:space="preserve"> by the International Capital Market Association (ICMA), and </w:t>
      </w:r>
      <w:r>
        <w:rPr>
          <w:lang w:val="en-US"/>
        </w:rPr>
        <w:t>with consideration to</w:t>
      </w:r>
      <w:r w:rsidRPr="00F92932">
        <w:rPr>
          <w:lang w:val="en-US"/>
        </w:rPr>
        <w:t xml:space="preserve"> international principles and documents in the field of sustainable development, including, but not limited to:</w:t>
      </w:r>
    </w:p>
    <w:p w14:paraId="3900FB7B" w14:textId="6A336D66" w:rsidR="00114BAD" w:rsidRPr="00697F59" w:rsidRDefault="00114BAD" w:rsidP="00697F59">
      <w:pPr>
        <w:pStyle w:val="ad"/>
        <w:numPr>
          <w:ilvl w:val="0"/>
          <w:numId w:val="35"/>
        </w:numPr>
        <w:ind w:left="851" w:hanging="284"/>
        <w:jc w:val="both"/>
        <w:rPr>
          <w:lang w:val="en-US"/>
        </w:rPr>
      </w:pPr>
      <w:r w:rsidRPr="00697F59">
        <w:rPr>
          <w:lang w:val="kk-KZ"/>
        </w:rPr>
        <w:t>Sustainable Development Goals developed by the UN General Assembly</w:t>
      </w:r>
      <w:r w:rsidRPr="00697F59">
        <w:rPr>
          <w:lang w:val="en-US"/>
        </w:rPr>
        <w:t>;</w:t>
      </w:r>
    </w:p>
    <w:p w14:paraId="75BC6FE1" w14:textId="5471EC05" w:rsidR="00114BAD" w:rsidRPr="00697F59" w:rsidRDefault="00114BAD" w:rsidP="00697F59">
      <w:pPr>
        <w:pStyle w:val="ad"/>
        <w:numPr>
          <w:ilvl w:val="0"/>
          <w:numId w:val="35"/>
        </w:numPr>
        <w:ind w:left="851" w:hanging="284"/>
        <w:jc w:val="both"/>
        <w:rPr>
          <w:lang w:val="kk-KZ"/>
        </w:rPr>
      </w:pPr>
      <w:r w:rsidRPr="00442FA1">
        <w:rPr>
          <w:lang w:val="kk-KZ"/>
        </w:rPr>
        <w:t>E</w:t>
      </w:r>
      <w:r w:rsidRPr="00697F59">
        <w:rPr>
          <w:lang w:val="kk-KZ"/>
        </w:rPr>
        <w:t>U</w:t>
      </w:r>
      <w:r w:rsidRPr="00442FA1">
        <w:rPr>
          <w:lang w:val="kk-KZ"/>
        </w:rPr>
        <w:t xml:space="preserve"> Taxonomy for Sustainable Activities</w:t>
      </w:r>
      <w:r w:rsidRPr="00697F59">
        <w:rPr>
          <w:lang w:val="kk-KZ"/>
        </w:rPr>
        <w:t>;</w:t>
      </w:r>
    </w:p>
    <w:p w14:paraId="591CEE8B" w14:textId="31787068" w:rsidR="00114BAD" w:rsidRPr="00697F59" w:rsidRDefault="00114BAD" w:rsidP="00697F59">
      <w:pPr>
        <w:pStyle w:val="ad"/>
        <w:numPr>
          <w:ilvl w:val="0"/>
          <w:numId w:val="35"/>
        </w:numPr>
        <w:ind w:left="851" w:hanging="284"/>
        <w:jc w:val="both"/>
        <w:rPr>
          <w:lang w:val="kk-KZ"/>
        </w:rPr>
      </w:pPr>
      <w:r w:rsidRPr="00697F59">
        <w:rPr>
          <w:lang w:val="kk-KZ"/>
        </w:rPr>
        <w:t>Climate Bonds Standard.</w:t>
      </w:r>
    </w:p>
    <w:p w14:paraId="45F8223D" w14:textId="77777777" w:rsidR="00114BAD" w:rsidRPr="00F92932" w:rsidRDefault="00114BAD" w:rsidP="00697F59">
      <w:pPr>
        <w:jc w:val="both"/>
        <w:rPr>
          <w:lang w:val="en-US"/>
        </w:rPr>
      </w:pPr>
      <w:r w:rsidRPr="00AE01AB">
        <w:rPr>
          <w:lang w:val="en-US"/>
        </w:rPr>
        <w:t>The Policy is aligned with the Environmental Code of the Republic of Kazakhstan and other regulatory legal acts of the Republic of Kazakhstan, the Bank’s Corporate Governance Code, as well as other</w:t>
      </w:r>
      <w:r>
        <w:rPr>
          <w:lang w:val="en-US"/>
        </w:rPr>
        <w:t xml:space="preserve"> internal documents of the Bank.</w:t>
      </w:r>
    </w:p>
    <w:p w14:paraId="5B464C89" w14:textId="143325B7" w:rsidR="00114BAD" w:rsidRPr="00F93A89" w:rsidRDefault="00114BAD" w:rsidP="00697F59">
      <w:pPr>
        <w:pStyle w:val="Default"/>
        <w:numPr>
          <w:ilvl w:val="0"/>
          <w:numId w:val="34"/>
        </w:numPr>
        <w:tabs>
          <w:tab w:val="left" w:pos="284"/>
        </w:tabs>
        <w:ind w:left="0" w:firstLine="0"/>
        <w:jc w:val="both"/>
        <w:rPr>
          <w:lang w:val="en-US"/>
        </w:rPr>
      </w:pPr>
      <w:r w:rsidRPr="00F93A89">
        <w:rPr>
          <w:lang w:val="en-US"/>
        </w:rPr>
        <w:t xml:space="preserve">The purpose of the Policy is to </w:t>
      </w:r>
      <w:r>
        <w:rPr>
          <w:lang w:val="en-US"/>
        </w:rPr>
        <w:t>ensure transparency in the Bank’</w:t>
      </w:r>
      <w:r w:rsidRPr="00F93A89">
        <w:rPr>
          <w:lang w:val="en-US"/>
        </w:rPr>
        <w:t xml:space="preserve">s attraction of investments </w:t>
      </w:r>
      <w:r>
        <w:rPr>
          <w:lang w:val="en-US"/>
        </w:rPr>
        <w:t>using</w:t>
      </w:r>
      <w:r w:rsidRPr="00F93A89">
        <w:rPr>
          <w:lang w:val="en-US"/>
        </w:rPr>
        <w:t xml:space="preserve"> sustainable financing instruments. In accordance with the Policy, the Bank </w:t>
      </w:r>
      <w:r>
        <w:rPr>
          <w:lang w:val="en-US"/>
        </w:rPr>
        <w:t>shall</w:t>
      </w:r>
      <w:r w:rsidRPr="00F93A89">
        <w:rPr>
          <w:lang w:val="en-US"/>
        </w:rPr>
        <w:t xml:space="preserve"> issue green financ</w:t>
      </w:r>
      <w:r>
        <w:rPr>
          <w:lang w:val="en-US"/>
        </w:rPr>
        <w:t>ing</w:t>
      </w:r>
      <w:r w:rsidRPr="00F93A89">
        <w:rPr>
          <w:lang w:val="en-US"/>
        </w:rPr>
        <w:t xml:space="preserve"> </w:t>
      </w:r>
      <w:r>
        <w:rPr>
          <w:lang w:val="en-US"/>
        </w:rPr>
        <w:t>instruments</w:t>
      </w:r>
      <w:r w:rsidRPr="00F93A89">
        <w:rPr>
          <w:lang w:val="en-US"/>
        </w:rPr>
        <w:t xml:space="preserve">- bonds, the proceeds of which are used exclusively for </w:t>
      </w:r>
      <w:r>
        <w:rPr>
          <w:lang w:val="en-US"/>
        </w:rPr>
        <w:t>“</w:t>
      </w:r>
      <w:r w:rsidRPr="00F93A89">
        <w:rPr>
          <w:lang w:val="en-US"/>
        </w:rPr>
        <w:t>green</w:t>
      </w:r>
      <w:r>
        <w:rPr>
          <w:lang w:val="en-US"/>
        </w:rPr>
        <w:t>”</w:t>
      </w:r>
      <w:r w:rsidRPr="00F93A89">
        <w:rPr>
          <w:lang w:val="en-US"/>
        </w:rPr>
        <w:t xml:space="preserve"> projects, as described in the table on the use of proceeds below.</w:t>
      </w:r>
    </w:p>
    <w:p w14:paraId="32F2FD76" w14:textId="497A08B5" w:rsidR="00114BAD" w:rsidRDefault="00114BAD" w:rsidP="00697F59">
      <w:pPr>
        <w:pStyle w:val="Default"/>
        <w:numPr>
          <w:ilvl w:val="0"/>
          <w:numId w:val="34"/>
        </w:numPr>
        <w:tabs>
          <w:tab w:val="left" w:pos="284"/>
        </w:tabs>
        <w:ind w:left="0" w:firstLine="0"/>
        <w:jc w:val="both"/>
        <w:rPr>
          <w:lang w:val="en-US"/>
        </w:rPr>
      </w:pPr>
      <w:r w:rsidRPr="00F93A89">
        <w:rPr>
          <w:lang w:val="en-US"/>
        </w:rPr>
        <w:t>The Bank</w:t>
      </w:r>
      <w:r>
        <w:rPr>
          <w:lang w:val="en-US"/>
        </w:rPr>
        <w:t xml:space="preserve"> shall issue</w:t>
      </w:r>
      <w:r w:rsidRPr="00F93A89">
        <w:rPr>
          <w:lang w:val="en-US"/>
        </w:rPr>
        <w:t xml:space="preserve"> </w:t>
      </w:r>
      <w:r>
        <w:rPr>
          <w:lang w:val="en-US"/>
        </w:rPr>
        <w:t>“</w:t>
      </w:r>
      <w:r w:rsidRPr="00F93A89">
        <w:rPr>
          <w:lang w:val="en-US"/>
        </w:rPr>
        <w:t>green</w:t>
      </w:r>
      <w:r>
        <w:rPr>
          <w:lang w:val="en-US"/>
        </w:rPr>
        <w:t>”</w:t>
      </w:r>
      <w:r w:rsidRPr="00F93A89">
        <w:rPr>
          <w:lang w:val="en-US"/>
        </w:rPr>
        <w:t xml:space="preserve"> bonds to raise financ</w:t>
      </w:r>
      <w:r>
        <w:rPr>
          <w:lang w:val="en-US"/>
        </w:rPr>
        <w:t>ing</w:t>
      </w:r>
      <w:r w:rsidRPr="00F93A89">
        <w:rPr>
          <w:lang w:val="en-US"/>
        </w:rPr>
        <w:t xml:space="preserve"> </w:t>
      </w:r>
      <w:r>
        <w:rPr>
          <w:lang w:val="en-US"/>
        </w:rPr>
        <w:t xml:space="preserve">in order </w:t>
      </w:r>
      <w:r w:rsidRPr="00F93A89">
        <w:rPr>
          <w:lang w:val="en-US"/>
        </w:rPr>
        <w:t>to stimulate increased investment</w:t>
      </w:r>
      <w:r>
        <w:rPr>
          <w:lang w:val="en-US"/>
        </w:rPr>
        <w:t>s</w:t>
      </w:r>
      <w:r w:rsidRPr="00F93A89">
        <w:rPr>
          <w:lang w:val="en-US"/>
        </w:rPr>
        <w:t xml:space="preserve"> in eligible projects that meet specified req</w:t>
      </w:r>
      <w:r>
        <w:rPr>
          <w:lang w:val="en-US"/>
        </w:rPr>
        <w:t>uirements</w:t>
      </w:r>
      <w:r w:rsidRPr="00F93A89">
        <w:rPr>
          <w:lang w:val="en-US"/>
        </w:rPr>
        <w:t xml:space="preserve">. </w:t>
      </w:r>
      <w:r w:rsidRPr="004E0968">
        <w:rPr>
          <w:lang w:val="en-US"/>
        </w:rPr>
        <w:t xml:space="preserve">The issuance of green bonds complements and supports the achievement of the UN Sustainable Development Goals within the framework of the Bank’s existing Sustainability Policy, Environmental and Social Risk Management Policy, and Climate Strategy, </w:t>
      </w:r>
      <w:r>
        <w:rPr>
          <w:lang w:val="en-US"/>
        </w:rPr>
        <w:t xml:space="preserve"> </w:t>
      </w:r>
      <w:r w:rsidRPr="004E0968">
        <w:rPr>
          <w:lang w:val="en-US"/>
        </w:rPr>
        <w:t>which prioritizes the financing of renewable energy, sustainable agriculture, and other green economy sectors identified through market analysis as crucial to Kazakhstan’s transition to a low-carbon economy. The Bank seeks to mobilize capital through green bonds in order to support environmentally sound and sustainable projects, reduce financed emissions across its corporate loan portfolio, and strengthen its leadersh</w:t>
      </w:r>
      <w:r>
        <w:rPr>
          <w:lang w:val="en-US"/>
        </w:rPr>
        <w:t xml:space="preserve">ip in sustainable development, </w:t>
      </w:r>
      <w:r w:rsidRPr="004E0968">
        <w:rPr>
          <w:lang w:val="en-US"/>
        </w:rPr>
        <w:t>while ensuring a transparent and measurable environmental impact aligned with the Paris Agreement’s 1.5°C goal.</w:t>
      </w:r>
    </w:p>
    <w:p w14:paraId="70E42C65" w14:textId="1C25BC84" w:rsidR="00114BAD" w:rsidRDefault="00114BAD" w:rsidP="00697F59">
      <w:pPr>
        <w:pStyle w:val="Default"/>
        <w:numPr>
          <w:ilvl w:val="0"/>
          <w:numId w:val="34"/>
        </w:numPr>
        <w:tabs>
          <w:tab w:val="left" w:pos="284"/>
        </w:tabs>
        <w:ind w:left="0" w:firstLine="0"/>
        <w:jc w:val="both"/>
        <w:rPr>
          <w:lang w:val="en-US"/>
        </w:rPr>
      </w:pPr>
      <w:r w:rsidRPr="00251658">
        <w:rPr>
          <w:lang w:val="en-US"/>
        </w:rPr>
        <w:t xml:space="preserve">As part of this Policy, the Bank </w:t>
      </w:r>
      <w:r>
        <w:rPr>
          <w:lang w:val="en-US"/>
        </w:rPr>
        <w:t>shall</w:t>
      </w:r>
      <w:r w:rsidRPr="00251658">
        <w:rPr>
          <w:lang w:val="en-US"/>
        </w:rPr>
        <w:t xml:space="preserve"> comp</w:t>
      </w:r>
      <w:r>
        <w:rPr>
          <w:lang w:val="en-US"/>
        </w:rPr>
        <w:t xml:space="preserve">ly with the GBP principles and </w:t>
      </w:r>
      <w:r w:rsidRPr="00251658">
        <w:rPr>
          <w:lang w:val="en-US"/>
        </w:rPr>
        <w:t xml:space="preserve">provide investors with access to information necessary for assessing the environmental impact of their investments in </w:t>
      </w:r>
      <w:r>
        <w:rPr>
          <w:lang w:val="en-US"/>
        </w:rPr>
        <w:t>“</w:t>
      </w:r>
      <w:r w:rsidRPr="00251658">
        <w:rPr>
          <w:lang w:val="en-US"/>
        </w:rPr>
        <w:t>green</w:t>
      </w:r>
      <w:r>
        <w:rPr>
          <w:lang w:val="en-US"/>
        </w:rPr>
        <w:t>”</w:t>
      </w:r>
      <w:r w:rsidRPr="00251658">
        <w:rPr>
          <w:lang w:val="en-US"/>
        </w:rPr>
        <w:t xml:space="preserve"> bonds, including reports on the targeted use of funds and impact statements.</w:t>
      </w:r>
    </w:p>
    <w:p w14:paraId="7C88044A" w14:textId="0B7037D4" w:rsidR="00114BAD" w:rsidRPr="00251658" w:rsidRDefault="00114BAD" w:rsidP="00697F59">
      <w:pPr>
        <w:pStyle w:val="Default"/>
        <w:numPr>
          <w:ilvl w:val="0"/>
          <w:numId w:val="34"/>
        </w:numPr>
        <w:tabs>
          <w:tab w:val="left" w:pos="284"/>
        </w:tabs>
        <w:ind w:left="0" w:firstLine="0"/>
        <w:jc w:val="both"/>
        <w:rPr>
          <w:lang w:val="en-US"/>
        </w:rPr>
      </w:pPr>
      <w:r w:rsidRPr="00251658">
        <w:rPr>
          <w:lang w:val="en-US"/>
        </w:rPr>
        <w:t xml:space="preserve">When executing any transaction involving </w:t>
      </w:r>
      <w:r>
        <w:rPr>
          <w:lang w:val="en-US"/>
        </w:rPr>
        <w:t xml:space="preserve"> </w:t>
      </w:r>
      <w:r w:rsidRPr="00251658">
        <w:rPr>
          <w:lang w:val="en-US"/>
        </w:rPr>
        <w:t>green financing</w:t>
      </w:r>
      <w:r>
        <w:rPr>
          <w:lang w:val="en-US"/>
        </w:rPr>
        <w:t xml:space="preserve"> </w:t>
      </w:r>
      <w:r w:rsidRPr="00251658">
        <w:rPr>
          <w:lang w:val="en-US"/>
        </w:rPr>
        <w:t>instruments</w:t>
      </w:r>
      <w:r>
        <w:rPr>
          <w:lang w:val="en-US"/>
        </w:rPr>
        <w:t xml:space="preserve">  </w:t>
      </w:r>
      <w:r w:rsidRPr="00251658">
        <w:rPr>
          <w:lang w:val="en-US"/>
        </w:rPr>
        <w:t xml:space="preserve">Bank </w:t>
      </w:r>
      <w:r>
        <w:rPr>
          <w:lang w:val="en-US"/>
        </w:rPr>
        <w:t>shall</w:t>
      </w:r>
      <w:r w:rsidRPr="00251658">
        <w:rPr>
          <w:lang w:val="en-US"/>
        </w:rPr>
        <w:t xml:space="preserve"> follow the core components of the GBP, </w:t>
      </w:r>
      <w:r>
        <w:rPr>
          <w:lang w:val="en-US"/>
        </w:rPr>
        <w:t>namely</w:t>
      </w:r>
      <w:r w:rsidRPr="00251658">
        <w:rPr>
          <w:lang w:val="en-US"/>
        </w:rPr>
        <w:t>:</w:t>
      </w:r>
    </w:p>
    <w:p w14:paraId="091996C7" w14:textId="152FA4D7" w:rsidR="00114BAD" w:rsidRPr="00697F59" w:rsidRDefault="00114BAD" w:rsidP="00697F59">
      <w:pPr>
        <w:pStyle w:val="ad"/>
        <w:numPr>
          <w:ilvl w:val="0"/>
          <w:numId w:val="36"/>
        </w:numPr>
        <w:ind w:left="851" w:hanging="284"/>
        <w:jc w:val="both"/>
        <w:rPr>
          <w:lang w:val="en-US"/>
        </w:rPr>
      </w:pPr>
      <w:r w:rsidRPr="00697F59">
        <w:rPr>
          <w:lang w:val="en-US"/>
        </w:rPr>
        <w:lastRenderedPageBreak/>
        <w:t>Use of Proceeds</w:t>
      </w:r>
      <w:r w:rsidR="00697F59">
        <w:t>;</w:t>
      </w:r>
    </w:p>
    <w:p w14:paraId="35BA0891" w14:textId="5AD038D7" w:rsidR="00114BAD" w:rsidRPr="000B3675" w:rsidRDefault="00114BAD" w:rsidP="00697F59">
      <w:pPr>
        <w:pStyle w:val="ad"/>
        <w:numPr>
          <w:ilvl w:val="0"/>
          <w:numId w:val="36"/>
        </w:numPr>
        <w:ind w:left="851" w:hanging="284"/>
        <w:jc w:val="both"/>
        <w:rPr>
          <w:lang w:val="en-US"/>
        </w:rPr>
      </w:pPr>
      <w:r w:rsidRPr="000B3675">
        <w:rPr>
          <w:lang w:val="en-US"/>
        </w:rPr>
        <w:t>Process for Project Evaluation and Selection</w:t>
      </w:r>
      <w:r w:rsidR="00697F59" w:rsidRPr="00697F59">
        <w:rPr>
          <w:lang w:val="en-US"/>
        </w:rPr>
        <w:t>;</w:t>
      </w:r>
    </w:p>
    <w:p w14:paraId="3CE765F6" w14:textId="7A0A22DB" w:rsidR="00114BAD" w:rsidRPr="000B3675" w:rsidRDefault="00114BAD" w:rsidP="00697F59">
      <w:pPr>
        <w:pStyle w:val="ad"/>
        <w:numPr>
          <w:ilvl w:val="0"/>
          <w:numId w:val="36"/>
        </w:numPr>
        <w:ind w:left="851" w:hanging="284"/>
        <w:jc w:val="both"/>
        <w:rPr>
          <w:lang w:val="en-US"/>
        </w:rPr>
      </w:pPr>
      <w:r w:rsidRPr="000B3675">
        <w:rPr>
          <w:lang w:val="en-US"/>
        </w:rPr>
        <w:t>Management of Proceeds</w:t>
      </w:r>
      <w:r w:rsidR="00697F59">
        <w:t>;</w:t>
      </w:r>
    </w:p>
    <w:p w14:paraId="143F6C8E" w14:textId="0EB542CC" w:rsidR="00114BAD" w:rsidRPr="00251658" w:rsidRDefault="00114BAD" w:rsidP="00697F59">
      <w:pPr>
        <w:pStyle w:val="ad"/>
        <w:numPr>
          <w:ilvl w:val="0"/>
          <w:numId w:val="36"/>
        </w:numPr>
        <w:ind w:left="851" w:hanging="284"/>
        <w:jc w:val="both"/>
        <w:rPr>
          <w:lang w:val="en-US"/>
        </w:rPr>
      </w:pPr>
      <w:r w:rsidRPr="000B3675">
        <w:rPr>
          <w:lang w:val="en-US"/>
        </w:rPr>
        <w:t>Reporting</w:t>
      </w:r>
      <w:r w:rsidRPr="00251658">
        <w:rPr>
          <w:lang w:val="en-US"/>
        </w:rPr>
        <w:t>.</w:t>
      </w:r>
    </w:p>
    <w:p w14:paraId="500B7D25" w14:textId="77777777" w:rsidR="00114BAD" w:rsidRDefault="00114BAD" w:rsidP="00697F59">
      <w:pPr>
        <w:pStyle w:val="Default"/>
        <w:numPr>
          <w:ilvl w:val="0"/>
          <w:numId w:val="34"/>
        </w:numPr>
        <w:tabs>
          <w:tab w:val="left" w:pos="284"/>
        </w:tabs>
        <w:ind w:left="0" w:firstLine="0"/>
        <w:jc w:val="both"/>
        <w:rPr>
          <w:lang w:val="en-US"/>
        </w:rPr>
      </w:pPr>
      <w:r w:rsidRPr="00573DA4">
        <w:rPr>
          <w:lang w:val="en-US"/>
        </w:rPr>
        <w:t>7.</w:t>
      </w:r>
      <w:r w:rsidRPr="00573DA4">
        <w:rPr>
          <w:lang w:val="en-US"/>
        </w:rPr>
        <w:tab/>
      </w:r>
      <w:r w:rsidRPr="00435564">
        <w:rPr>
          <w:lang w:val="en-US"/>
        </w:rPr>
        <w:t xml:space="preserve">The Policy shall be binding on all Bank employees when planning and carrying out activities related to raising funds through </w:t>
      </w:r>
      <w:r>
        <w:rPr>
          <w:lang w:val="en-US"/>
        </w:rPr>
        <w:t>“</w:t>
      </w:r>
      <w:r w:rsidRPr="00435564">
        <w:rPr>
          <w:lang w:val="en-US"/>
        </w:rPr>
        <w:t>green</w:t>
      </w:r>
      <w:r>
        <w:rPr>
          <w:lang w:val="en-US"/>
        </w:rPr>
        <w:t>”</w:t>
      </w:r>
      <w:r w:rsidRPr="00435564">
        <w:rPr>
          <w:lang w:val="en-US"/>
        </w:rPr>
        <w:t xml:space="preserve"> bonds and their utilization, preparing and approving internal regulatory documents, developing and implementing business processes, exchanging information, and other types of communication.</w:t>
      </w:r>
    </w:p>
    <w:p w14:paraId="47A95439" w14:textId="186E251C" w:rsidR="00697F59" w:rsidRPr="00697F59" w:rsidRDefault="00114BAD" w:rsidP="00697F59">
      <w:pPr>
        <w:pStyle w:val="Default"/>
        <w:numPr>
          <w:ilvl w:val="0"/>
          <w:numId w:val="34"/>
        </w:numPr>
        <w:tabs>
          <w:tab w:val="left" w:pos="284"/>
        </w:tabs>
        <w:ind w:left="0" w:firstLine="0"/>
        <w:jc w:val="both"/>
        <w:rPr>
          <w:lang w:val="en-US"/>
        </w:rPr>
      </w:pPr>
      <w:r w:rsidRPr="00573DA4">
        <w:rPr>
          <w:lang w:val="en-US"/>
        </w:rPr>
        <w:t>The Policy is a public document available on the Bank's information resources</w:t>
      </w:r>
      <w:r w:rsidR="00723021" w:rsidRPr="00697F59">
        <w:rPr>
          <w:lang w:val="en-US"/>
        </w:rPr>
        <w:t>.</w:t>
      </w:r>
    </w:p>
    <w:p w14:paraId="617B7EF4" w14:textId="14DC50C1" w:rsidR="00B25168" w:rsidRPr="00114BAD" w:rsidRDefault="00114BAD">
      <w:pPr>
        <w:pStyle w:val="1"/>
        <w:rPr>
          <w:color w:val="auto"/>
          <w:lang w:val="en-US"/>
        </w:rPr>
      </w:pPr>
      <w:bookmarkStart w:id="12" w:name="_Toc203989736"/>
      <w:r w:rsidRPr="00114BAD">
        <w:rPr>
          <w:lang w:val="en-US"/>
        </w:rPr>
        <w:t>Chapter 2: Terms and Abbreviations</w:t>
      </w:r>
      <w:bookmarkEnd w:id="12"/>
    </w:p>
    <w:p w14:paraId="7F4817D5" w14:textId="77777777" w:rsidR="00114BAD" w:rsidRPr="00EE238B" w:rsidRDefault="00114BAD" w:rsidP="00697F59">
      <w:pPr>
        <w:jc w:val="both"/>
        <w:rPr>
          <w:lang w:val="en-US"/>
        </w:rPr>
      </w:pPr>
      <w:r w:rsidRPr="00EE238B">
        <w:rPr>
          <w:b/>
          <w:bCs/>
          <w:lang w:val="en-US"/>
        </w:rPr>
        <w:t>ABIS</w:t>
      </w:r>
      <w:r w:rsidRPr="00EE238B">
        <w:rPr>
          <w:lang w:val="en-US"/>
        </w:rPr>
        <w:t xml:space="preserve"> </w:t>
      </w:r>
      <w:r>
        <w:rPr>
          <w:lang w:val="en-US"/>
        </w:rPr>
        <w:t xml:space="preserve">means </w:t>
      </w:r>
      <w:r w:rsidRPr="00EE238B">
        <w:rPr>
          <w:lang w:val="en-US"/>
        </w:rPr>
        <w:t>Automated Banking Information System</w:t>
      </w:r>
    </w:p>
    <w:p w14:paraId="0BC74563" w14:textId="77777777" w:rsidR="00114BAD" w:rsidRPr="00EE238B" w:rsidRDefault="00114BAD" w:rsidP="00697F59">
      <w:pPr>
        <w:jc w:val="both"/>
        <w:rPr>
          <w:lang w:val="en-US"/>
        </w:rPr>
      </w:pPr>
      <w:r w:rsidRPr="00EE238B">
        <w:rPr>
          <w:b/>
          <w:bCs/>
          <w:lang w:val="en-US"/>
        </w:rPr>
        <w:t>IRD</w:t>
      </w:r>
      <w:r w:rsidRPr="00EE238B">
        <w:rPr>
          <w:lang w:val="en-US"/>
        </w:rPr>
        <w:t xml:space="preserve"> </w:t>
      </w:r>
      <w:r>
        <w:rPr>
          <w:lang w:val="en-US"/>
        </w:rPr>
        <w:t>means Bank’</w:t>
      </w:r>
      <w:r w:rsidRPr="00EE238B">
        <w:rPr>
          <w:lang w:val="en-US"/>
        </w:rPr>
        <w:t>s internal regulatory document</w:t>
      </w:r>
    </w:p>
    <w:p w14:paraId="76BDA17B" w14:textId="6FBD1226" w:rsidR="00114BAD" w:rsidRPr="00EE238B" w:rsidRDefault="00114BAD" w:rsidP="00697F59">
      <w:pPr>
        <w:jc w:val="both"/>
        <w:rPr>
          <w:lang w:val="en-US"/>
        </w:rPr>
      </w:pPr>
      <w:r w:rsidRPr="00EE238B">
        <w:rPr>
          <w:b/>
          <w:bCs/>
          <w:lang w:val="en-US"/>
        </w:rPr>
        <w:t>ESDD</w:t>
      </w:r>
      <w:r w:rsidRPr="00EE238B">
        <w:rPr>
          <w:lang w:val="en-US"/>
        </w:rPr>
        <w:t xml:space="preserve"> </w:t>
      </w:r>
      <w:r>
        <w:rPr>
          <w:lang w:val="en-US"/>
        </w:rPr>
        <w:t xml:space="preserve">means </w:t>
      </w:r>
      <w:r w:rsidRPr="00EE238B">
        <w:rPr>
          <w:lang w:val="en-US"/>
        </w:rPr>
        <w:t xml:space="preserve">assessment </w:t>
      </w:r>
      <w:r w:rsidR="00FE3EC1">
        <w:rPr>
          <w:lang w:val="en-US"/>
        </w:rPr>
        <w:t>of borrower’s</w:t>
      </w:r>
      <w:r w:rsidRPr="00EE238B">
        <w:rPr>
          <w:lang w:val="en-US"/>
        </w:rPr>
        <w:t xml:space="preserve"> operations exposure to climate, environmental and social risks and other ESG factors</w:t>
      </w:r>
    </w:p>
    <w:p w14:paraId="63E8E690" w14:textId="77777777" w:rsidR="00114BAD" w:rsidRPr="00EE238B" w:rsidRDefault="00114BAD" w:rsidP="00697F59">
      <w:pPr>
        <w:jc w:val="both"/>
        <w:rPr>
          <w:lang w:val="en-US"/>
        </w:rPr>
      </w:pPr>
      <w:r w:rsidRPr="00EE238B">
        <w:rPr>
          <w:b/>
          <w:bCs/>
          <w:lang w:val="en-US"/>
        </w:rPr>
        <w:t>ESG (Environmental, Social, Governance)</w:t>
      </w:r>
      <w:r w:rsidRPr="00EE238B">
        <w:rPr>
          <w:lang w:val="en-US"/>
        </w:rPr>
        <w:t xml:space="preserve"> </w:t>
      </w:r>
      <w:r>
        <w:rPr>
          <w:lang w:val="en-US"/>
        </w:rPr>
        <w:t xml:space="preserve">mean </w:t>
      </w:r>
      <w:r w:rsidRPr="00EE238B">
        <w:rPr>
          <w:lang w:val="en-US"/>
        </w:rPr>
        <w:t xml:space="preserve">the Bank's approaches when </w:t>
      </w:r>
      <w:r>
        <w:rPr>
          <w:lang w:val="en-US"/>
        </w:rPr>
        <w:t xml:space="preserve">performing </w:t>
      </w:r>
      <w:r w:rsidRPr="00EE238B">
        <w:rPr>
          <w:lang w:val="en-US"/>
        </w:rPr>
        <w:t xml:space="preserve">financing, investment and other activities, involving the assessment of the following factors when </w:t>
      </w:r>
      <w:r>
        <w:rPr>
          <w:lang w:val="en-US"/>
        </w:rPr>
        <w:t>taking</w:t>
      </w:r>
      <w:r w:rsidRPr="00EE238B">
        <w:rPr>
          <w:lang w:val="en-US"/>
        </w:rPr>
        <w:t xml:space="preserve"> decisions: </w:t>
      </w:r>
    </w:p>
    <w:p w14:paraId="78E21E51" w14:textId="2D52077D" w:rsidR="00114BAD" w:rsidRPr="00697F59" w:rsidRDefault="00114BAD" w:rsidP="003B2200">
      <w:pPr>
        <w:pStyle w:val="ad"/>
        <w:numPr>
          <w:ilvl w:val="0"/>
          <w:numId w:val="35"/>
        </w:numPr>
        <w:ind w:left="0" w:firstLine="567"/>
        <w:jc w:val="both"/>
        <w:rPr>
          <w:lang w:val="kk-KZ"/>
        </w:rPr>
      </w:pPr>
      <w:r w:rsidRPr="00697F59">
        <w:rPr>
          <w:lang w:val="kk-KZ"/>
        </w:rPr>
        <w:t xml:space="preserve">environmental and climate factors, which define the Bank’s role in environmental protection and in the global and national climate agenda; </w:t>
      </w:r>
    </w:p>
    <w:p w14:paraId="15B1FADF" w14:textId="3EF60DBC" w:rsidR="00114BAD" w:rsidRPr="00697F59" w:rsidRDefault="00114BAD" w:rsidP="003B2200">
      <w:pPr>
        <w:pStyle w:val="ad"/>
        <w:numPr>
          <w:ilvl w:val="0"/>
          <w:numId w:val="35"/>
        </w:numPr>
        <w:ind w:left="0" w:firstLine="567"/>
        <w:jc w:val="both"/>
        <w:rPr>
          <w:lang w:val="kk-KZ"/>
        </w:rPr>
      </w:pPr>
      <w:r w:rsidRPr="00697F59">
        <w:rPr>
          <w:lang w:val="kk-KZ"/>
        </w:rPr>
        <w:t xml:space="preserve">social factors, which define approaches to relations with employees, suppliers, customers and society; </w:t>
      </w:r>
    </w:p>
    <w:p w14:paraId="67F1F0C9" w14:textId="0079ACE5" w:rsidR="00114BAD" w:rsidRPr="00697F59" w:rsidRDefault="00114BAD" w:rsidP="003B2200">
      <w:pPr>
        <w:pStyle w:val="ad"/>
        <w:numPr>
          <w:ilvl w:val="0"/>
          <w:numId w:val="35"/>
        </w:numPr>
        <w:ind w:left="0" w:firstLine="567"/>
        <w:jc w:val="both"/>
        <w:rPr>
          <w:lang w:val="kk-KZ"/>
        </w:rPr>
      </w:pPr>
      <w:r w:rsidRPr="00697F59">
        <w:rPr>
          <w:lang w:val="kk-KZ"/>
        </w:rPr>
        <w:t>corporate governance factors, which reflect governance approaches in relation to the direction of the  Bank, key management compensation, audit, internal control and shareholders’ rights</w:t>
      </w:r>
    </w:p>
    <w:p w14:paraId="0200D6DB" w14:textId="77777777" w:rsidR="00114BAD" w:rsidRDefault="00114BAD" w:rsidP="00697F59">
      <w:pPr>
        <w:jc w:val="both"/>
        <w:rPr>
          <w:lang w:val="en-US"/>
        </w:rPr>
      </w:pPr>
      <w:r w:rsidRPr="00AE01AB">
        <w:rPr>
          <w:b/>
          <w:bCs/>
          <w:lang w:val="en-US"/>
        </w:rPr>
        <w:t xml:space="preserve">Green buildings </w:t>
      </w:r>
      <w:r>
        <w:rPr>
          <w:bCs/>
          <w:lang w:val="en-US"/>
        </w:rPr>
        <w:t>mean</w:t>
      </w:r>
      <w:r w:rsidRPr="00AE01AB">
        <w:rPr>
          <w:bCs/>
          <w:lang w:val="en-US"/>
        </w:rPr>
        <w:t xml:space="preserve"> buildings that are constructed or renovated with the goal of reducing resource consumption and minimizing environmental impact both during construction and throughout their operation.</w:t>
      </w:r>
      <w:r w:rsidRPr="00AE01AB">
        <w:rPr>
          <w:b/>
          <w:bCs/>
          <w:lang w:val="en-US"/>
        </w:rPr>
        <w:t xml:space="preserve"> </w:t>
      </w:r>
      <w:r>
        <w:rPr>
          <w:b/>
          <w:bCs/>
          <w:lang w:val="en-US"/>
        </w:rPr>
        <w:t>“</w:t>
      </w:r>
      <w:r w:rsidRPr="00A42377">
        <w:rPr>
          <w:b/>
          <w:bCs/>
          <w:lang w:val="en-US"/>
        </w:rPr>
        <w:t>Green</w:t>
      </w:r>
      <w:r>
        <w:rPr>
          <w:b/>
          <w:bCs/>
          <w:lang w:val="en-US"/>
        </w:rPr>
        <w:t>”</w:t>
      </w:r>
      <w:r w:rsidRPr="00A42377">
        <w:rPr>
          <w:b/>
          <w:bCs/>
          <w:lang w:val="en-US"/>
        </w:rPr>
        <w:t xml:space="preserve"> bonds </w:t>
      </w:r>
      <w:r w:rsidRPr="00A42377">
        <w:rPr>
          <w:lang w:val="en-US"/>
        </w:rPr>
        <w:t>mean</w:t>
      </w:r>
      <w:r>
        <w:rPr>
          <w:lang w:val="en-US"/>
        </w:rPr>
        <w:t xml:space="preserve"> bonds</w:t>
      </w:r>
      <w:r w:rsidRPr="00A42377">
        <w:rPr>
          <w:lang w:val="en-US"/>
        </w:rPr>
        <w:t xml:space="preserve"> </w:t>
      </w:r>
      <w:r w:rsidRPr="00F51F93">
        <w:rPr>
          <w:lang w:val="en-US"/>
        </w:rPr>
        <w:t xml:space="preserve">whose proceeds are allocated, in whole or in part, to finance or refinance new and/or existing </w:t>
      </w:r>
      <w:r>
        <w:rPr>
          <w:lang w:val="en-US"/>
        </w:rPr>
        <w:t>“</w:t>
      </w:r>
      <w:r w:rsidRPr="00F51F93">
        <w:rPr>
          <w:lang w:val="en-US"/>
        </w:rPr>
        <w:t>green</w:t>
      </w:r>
      <w:r>
        <w:rPr>
          <w:lang w:val="en-US"/>
        </w:rPr>
        <w:t>”</w:t>
      </w:r>
      <w:r w:rsidRPr="00F51F93">
        <w:rPr>
          <w:lang w:val="en-US"/>
        </w:rPr>
        <w:t xml:space="preserve"> projects.</w:t>
      </w:r>
    </w:p>
    <w:p w14:paraId="7047DD64" w14:textId="77777777" w:rsidR="006B3FA1" w:rsidRDefault="00FE3EC1" w:rsidP="00697F59">
      <w:pPr>
        <w:jc w:val="both"/>
        <w:rPr>
          <w:lang w:val="en-US"/>
        </w:rPr>
      </w:pPr>
      <w:r w:rsidRPr="00A42377">
        <w:rPr>
          <w:b/>
          <w:bCs/>
          <w:lang w:val="en-US"/>
        </w:rPr>
        <w:t>LB</w:t>
      </w:r>
      <w:r w:rsidRPr="00A42377">
        <w:rPr>
          <w:lang w:val="en-US"/>
        </w:rPr>
        <w:t xml:space="preserve"> </w:t>
      </w:r>
      <w:r>
        <w:rPr>
          <w:lang w:val="en-US"/>
        </w:rPr>
        <w:t>means</w:t>
      </w:r>
      <w:r w:rsidR="00114BAD">
        <w:rPr>
          <w:lang w:val="en-US"/>
        </w:rPr>
        <w:t xml:space="preserve"> L</w:t>
      </w:r>
      <w:r w:rsidR="00114BAD" w:rsidRPr="002A54AC">
        <w:rPr>
          <w:lang w:val="en-US"/>
        </w:rPr>
        <w:t>arge corporate business customer</w:t>
      </w:r>
      <w:r w:rsidR="006B3FA1">
        <w:rPr>
          <w:lang w:val="en-US"/>
        </w:rPr>
        <w:t>.</w:t>
      </w:r>
    </w:p>
    <w:p w14:paraId="2569AA24" w14:textId="10052F34" w:rsidR="00114BAD" w:rsidRPr="00A42377" w:rsidRDefault="00114BAD" w:rsidP="00697F59">
      <w:pPr>
        <w:jc w:val="both"/>
        <w:rPr>
          <w:lang w:val="en-US"/>
        </w:rPr>
      </w:pPr>
      <w:r w:rsidRPr="002A54AC">
        <w:rPr>
          <w:lang w:val="en-US"/>
        </w:rPr>
        <w:t xml:space="preserve"> </w:t>
      </w:r>
      <w:r w:rsidRPr="00A42377">
        <w:rPr>
          <w:b/>
          <w:bCs/>
          <w:lang w:val="en-US"/>
        </w:rPr>
        <w:t xml:space="preserve">RLA </w:t>
      </w:r>
      <w:r>
        <w:rPr>
          <w:lang w:val="en-US"/>
        </w:rPr>
        <w:t>means</w:t>
      </w:r>
      <w:r w:rsidRPr="00A42377">
        <w:rPr>
          <w:lang w:val="en-US"/>
        </w:rPr>
        <w:t xml:space="preserve"> regulatory legal act</w:t>
      </w:r>
      <w:r w:rsidR="00130D74">
        <w:rPr>
          <w:lang w:val="en-US"/>
        </w:rPr>
        <w:t>.</w:t>
      </w:r>
    </w:p>
    <w:p w14:paraId="61B0F6A6" w14:textId="3043589B" w:rsidR="00114BAD" w:rsidRPr="00A42377" w:rsidRDefault="00114BAD" w:rsidP="00697F59">
      <w:pPr>
        <w:jc w:val="both"/>
        <w:rPr>
          <w:lang w:val="en-US"/>
        </w:rPr>
      </w:pPr>
      <w:r w:rsidRPr="002433E6">
        <w:rPr>
          <w:b/>
          <w:lang w:val="en-US"/>
        </w:rPr>
        <w:t>United Nations Organisation (UN)</w:t>
      </w:r>
      <w:r w:rsidRPr="00A42377">
        <w:rPr>
          <w:lang w:val="en-US"/>
        </w:rPr>
        <w:t xml:space="preserve"> </w:t>
      </w:r>
      <w:r w:rsidRPr="009A3656">
        <w:rPr>
          <w:rFonts w:eastAsia="Malgun Gothic"/>
          <w:bCs/>
          <w:color w:val="000000" w:themeColor="text1"/>
          <w:lang w:val="en-US" w:eastAsia="zh-CN"/>
        </w:rPr>
        <w:t xml:space="preserve">means </w:t>
      </w:r>
      <w:r w:rsidRPr="009A3656">
        <w:rPr>
          <w:rFonts w:eastAsia="Calibri"/>
          <w:color w:val="000000" w:themeColor="text1"/>
          <w:lang w:val="en-US" w:eastAsia="zh-CN"/>
        </w:rPr>
        <w:t xml:space="preserve">an international organization whose </w:t>
      </w:r>
      <w:r>
        <w:rPr>
          <w:rFonts w:eastAsia="Calibri"/>
          <w:color w:val="000000" w:themeColor="text1"/>
          <w:lang w:val="en-US" w:eastAsia="zh-CN"/>
        </w:rPr>
        <w:t>goal</w:t>
      </w:r>
      <w:r w:rsidRPr="009A3656">
        <w:rPr>
          <w:rFonts w:eastAsia="Calibri"/>
          <w:color w:val="000000" w:themeColor="text1"/>
          <w:lang w:val="en-US" w:eastAsia="zh-CN"/>
        </w:rPr>
        <w:t xml:space="preserve"> is to maintain and strengthen international peace and security and to promote </w:t>
      </w:r>
      <w:r>
        <w:rPr>
          <w:rFonts w:eastAsia="Calibri"/>
          <w:color w:val="000000" w:themeColor="text1"/>
          <w:lang w:val="en-US" w:eastAsia="zh-CN"/>
        </w:rPr>
        <w:t xml:space="preserve">international </w:t>
      </w:r>
      <w:r w:rsidRPr="009A3656">
        <w:rPr>
          <w:rFonts w:eastAsia="Calibri"/>
          <w:color w:val="000000" w:themeColor="text1"/>
          <w:lang w:val="en-US" w:eastAsia="zh-CN"/>
        </w:rPr>
        <w:t>cooperation</w:t>
      </w:r>
      <w:r w:rsidR="00130D74">
        <w:rPr>
          <w:rFonts w:eastAsia="Calibri"/>
          <w:color w:val="000000" w:themeColor="text1"/>
          <w:lang w:val="en-US" w:eastAsia="zh-CN"/>
        </w:rPr>
        <w:t>.</w:t>
      </w:r>
      <w:r>
        <w:rPr>
          <w:lang w:val="en-US"/>
        </w:rPr>
        <w:t xml:space="preserve"> </w:t>
      </w:r>
    </w:p>
    <w:p w14:paraId="5CF33AC2" w14:textId="22AAF539" w:rsidR="00114BAD" w:rsidRPr="00A42377" w:rsidRDefault="00114BAD" w:rsidP="00697F59">
      <w:pPr>
        <w:jc w:val="both"/>
        <w:rPr>
          <w:lang w:val="en-US"/>
        </w:rPr>
      </w:pPr>
      <w:r w:rsidRPr="00A42377">
        <w:rPr>
          <w:b/>
          <w:bCs/>
          <w:lang w:val="en-US"/>
        </w:rPr>
        <w:t>GHG</w:t>
      </w:r>
      <w:r w:rsidRPr="00A42377">
        <w:rPr>
          <w:lang w:val="en-US"/>
        </w:rPr>
        <w:t xml:space="preserve"> </w:t>
      </w:r>
      <w:r>
        <w:rPr>
          <w:lang w:val="en-US"/>
        </w:rPr>
        <w:t>mean</w:t>
      </w:r>
      <w:r w:rsidRPr="00A42377">
        <w:rPr>
          <w:lang w:val="en-US"/>
        </w:rPr>
        <w:t xml:space="preserve"> greenhouse gases that pollute the atmosphere and lead to the greenhouse effect</w:t>
      </w:r>
      <w:r w:rsidR="00130D74">
        <w:rPr>
          <w:lang w:val="en-US"/>
        </w:rPr>
        <w:t>.</w:t>
      </w:r>
    </w:p>
    <w:p w14:paraId="7A22195D" w14:textId="138E470E" w:rsidR="00114BAD" w:rsidRDefault="00114BAD" w:rsidP="00697F59">
      <w:pPr>
        <w:jc w:val="both"/>
        <w:rPr>
          <w:lang w:val="en-US"/>
        </w:rPr>
      </w:pPr>
      <w:r w:rsidRPr="00A42377">
        <w:rPr>
          <w:b/>
          <w:bCs/>
          <w:lang w:val="en-US"/>
        </w:rPr>
        <w:t xml:space="preserve">CFC </w:t>
      </w:r>
      <w:r w:rsidRPr="00A42377">
        <w:rPr>
          <w:lang w:val="en-US"/>
        </w:rPr>
        <w:t xml:space="preserve">employee </w:t>
      </w:r>
      <w:r>
        <w:rPr>
          <w:lang w:val="en-US"/>
        </w:rPr>
        <w:t>means</w:t>
      </w:r>
      <w:r w:rsidRPr="00A42377">
        <w:rPr>
          <w:lang w:val="en-US"/>
        </w:rPr>
        <w:t xml:space="preserve"> an employee of the corporate finance division responsible for supporting projects of </w:t>
      </w:r>
      <w:r>
        <w:rPr>
          <w:lang w:val="en-US"/>
        </w:rPr>
        <w:t>large</w:t>
      </w:r>
      <w:r w:rsidRPr="00A42377">
        <w:rPr>
          <w:lang w:val="en-US"/>
        </w:rPr>
        <w:t xml:space="preserve"> </w:t>
      </w:r>
      <w:r w:rsidRPr="002A54AC">
        <w:rPr>
          <w:lang w:val="en-US"/>
        </w:rPr>
        <w:t>corporate business customer</w:t>
      </w:r>
      <w:r w:rsidR="00130D74">
        <w:rPr>
          <w:lang w:val="en-US"/>
        </w:rPr>
        <w:t>.</w:t>
      </w:r>
      <w:r w:rsidRPr="002A54AC">
        <w:rPr>
          <w:lang w:val="en-US"/>
        </w:rPr>
        <w:t xml:space="preserve"> </w:t>
      </w:r>
    </w:p>
    <w:p w14:paraId="0933EC6A" w14:textId="5448922A" w:rsidR="00114BAD" w:rsidRPr="00A42377" w:rsidRDefault="00114BAD" w:rsidP="00697F59">
      <w:pPr>
        <w:jc w:val="both"/>
        <w:rPr>
          <w:lang w:val="en-US"/>
        </w:rPr>
      </w:pPr>
      <w:r w:rsidRPr="00A42377">
        <w:rPr>
          <w:b/>
          <w:bCs/>
          <w:lang w:val="en-US"/>
        </w:rPr>
        <w:t xml:space="preserve">RoK </w:t>
      </w:r>
      <w:r>
        <w:rPr>
          <w:lang w:val="en-US"/>
        </w:rPr>
        <w:t xml:space="preserve">means the </w:t>
      </w:r>
      <w:r w:rsidRPr="00A42377">
        <w:rPr>
          <w:lang w:val="en-US"/>
        </w:rPr>
        <w:t>Republic of Kazakhstan</w:t>
      </w:r>
      <w:r w:rsidR="00130D74">
        <w:rPr>
          <w:lang w:val="en-US"/>
        </w:rPr>
        <w:t>.</w:t>
      </w:r>
    </w:p>
    <w:p w14:paraId="28015A14" w14:textId="7F1C4A4B" w:rsidR="00114BAD" w:rsidRPr="00A42377" w:rsidRDefault="00114BAD" w:rsidP="00697F59">
      <w:pPr>
        <w:jc w:val="both"/>
        <w:rPr>
          <w:lang w:val="en-US"/>
        </w:rPr>
      </w:pPr>
      <w:r w:rsidRPr="00A42377">
        <w:rPr>
          <w:b/>
          <w:bCs/>
          <w:lang w:val="en-US"/>
        </w:rPr>
        <w:t>Refinancing</w:t>
      </w:r>
      <w:r w:rsidRPr="00A42377">
        <w:rPr>
          <w:lang w:val="en-US"/>
        </w:rPr>
        <w:t xml:space="preserve"> - in the context of this Policy, refinancing is defined as the following </w:t>
      </w:r>
      <w:r>
        <w:rPr>
          <w:lang w:val="en-US"/>
        </w:rPr>
        <w:t>operations</w:t>
      </w:r>
      <w:r w:rsidR="00130D74">
        <w:rPr>
          <w:lang w:val="en-US"/>
        </w:rPr>
        <w:t>.</w:t>
      </w:r>
      <w:r w:rsidRPr="00A42377">
        <w:rPr>
          <w:lang w:val="en-US"/>
        </w:rPr>
        <w:t xml:space="preserve"> </w:t>
      </w:r>
    </w:p>
    <w:p w14:paraId="56E97440" w14:textId="619726A8" w:rsidR="00114BAD" w:rsidRPr="00A42377" w:rsidRDefault="00114BAD" w:rsidP="00697F59">
      <w:pPr>
        <w:pStyle w:val="ad"/>
        <w:numPr>
          <w:ilvl w:val="0"/>
          <w:numId w:val="37"/>
        </w:numPr>
        <w:ind w:left="851" w:hanging="284"/>
        <w:jc w:val="both"/>
        <w:rPr>
          <w:lang w:val="en-US"/>
        </w:rPr>
      </w:pPr>
      <w:r w:rsidRPr="00A42377">
        <w:rPr>
          <w:lang w:val="en-US"/>
        </w:rPr>
        <w:t>replacement of the source of funding/financing under the borrower's existing loan with funds received by the Bank from placement of green bonds;</w:t>
      </w:r>
    </w:p>
    <w:p w14:paraId="551DA3ED" w14:textId="7DFAA0E2" w:rsidR="00114BAD" w:rsidRPr="00A42377" w:rsidRDefault="00114BAD" w:rsidP="00697F59">
      <w:pPr>
        <w:pStyle w:val="ad"/>
        <w:numPr>
          <w:ilvl w:val="0"/>
          <w:numId w:val="37"/>
        </w:numPr>
        <w:ind w:left="851" w:hanging="284"/>
        <w:jc w:val="both"/>
        <w:rPr>
          <w:lang w:val="en-US"/>
        </w:rPr>
      </w:pPr>
      <w:r>
        <w:rPr>
          <w:lang w:val="en-US"/>
        </w:rPr>
        <w:t>issue</w:t>
      </w:r>
      <w:r w:rsidRPr="00A42377">
        <w:rPr>
          <w:lang w:val="en-US"/>
        </w:rPr>
        <w:t xml:space="preserve"> of a new loan to the borrower using funds received by the Bank from the placement of green bonds to repay one or more of the borrower's existing loans</w:t>
      </w:r>
    </w:p>
    <w:p w14:paraId="4B034999" w14:textId="7B5B14CE" w:rsidR="00114BAD" w:rsidRPr="0071087D" w:rsidRDefault="00114BAD" w:rsidP="00697F59">
      <w:pPr>
        <w:jc w:val="both"/>
        <w:rPr>
          <w:lang w:val="en-US"/>
        </w:rPr>
      </w:pPr>
      <w:r w:rsidRPr="00B22E37">
        <w:rPr>
          <w:b/>
          <w:bCs/>
          <w:lang w:val="en-US"/>
        </w:rPr>
        <w:t xml:space="preserve">Sustainable </w:t>
      </w:r>
      <w:r>
        <w:rPr>
          <w:b/>
          <w:bCs/>
          <w:lang w:val="en-US"/>
        </w:rPr>
        <w:t>f</w:t>
      </w:r>
      <w:r w:rsidRPr="00B22E37">
        <w:rPr>
          <w:b/>
          <w:bCs/>
          <w:lang w:val="en-US"/>
        </w:rPr>
        <w:t>inancing</w:t>
      </w:r>
      <w:r w:rsidRPr="00A42377">
        <w:rPr>
          <w:lang w:val="en-US"/>
        </w:rPr>
        <w:t xml:space="preserve"> </w:t>
      </w:r>
      <w:r w:rsidRPr="0071087D">
        <w:rPr>
          <w:lang w:val="en-US"/>
        </w:rPr>
        <w:t>refers to the integration of environmental and social risk considerations related to financed projects and c</w:t>
      </w:r>
      <w:r>
        <w:rPr>
          <w:lang w:val="en-US"/>
        </w:rPr>
        <w:t xml:space="preserve">ustomers, </w:t>
      </w:r>
      <w:r w:rsidRPr="0071087D">
        <w:rPr>
          <w:lang w:val="en-US"/>
        </w:rPr>
        <w:t>establishment of adequate risk management systems, and the pro</w:t>
      </w:r>
      <w:r>
        <w:rPr>
          <w:lang w:val="en-US"/>
        </w:rPr>
        <w:t>vision of financing for social and environmental projects</w:t>
      </w:r>
      <w:r w:rsidR="00130D74">
        <w:rPr>
          <w:lang w:val="en-US"/>
        </w:rPr>
        <w:t>.</w:t>
      </w:r>
    </w:p>
    <w:p w14:paraId="12FF7BCD" w14:textId="703A22E3" w:rsidR="00114BAD" w:rsidRPr="00B22E37" w:rsidRDefault="00114BAD" w:rsidP="00697F59">
      <w:pPr>
        <w:jc w:val="both"/>
        <w:rPr>
          <w:lang w:val="en-US"/>
        </w:rPr>
      </w:pPr>
      <w:r w:rsidRPr="00B22E37">
        <w:rPr>
          <w:b/>
          <w:bCs/>
          <w:lang w:val="en-US"/>
        </w:rPr>
        <w:t xml:space="preserve">Sustainable Development Goals (SDGs) </w:t>
      </w:r>
      <w:r w:rsidRPr="00B22E37">
        <w:rPr>
          <w:rFonts w:eastAsia="Calibri"/>
          <w:bCs/>
          <w:color w:val="000000" w:themeColor="text1"/>
          <w:lang w:val="en-US" w:eastAsia="zh-CN"/>
        </w:rPr>
        <w:t>mean globally</w:t>
      </w:r>
      <w:r w:rsidRPr="00A42377">
        <w:rPr>
          <w:lang w:val="en-US"/>
        </w:rPr>
        <w:t xml:space="preserve"> accepted goals aimed </w:t>
      </w:r>
      <w:r w:rsidRPr="00B22E37">
        <w:rPr>
          <w:lang w:val="en-US"/>
        </w:rPr>
        <w:t>at ending poverty and misery, combating inequality and injustice, and protecting the planet and ensuring peace and prosperity for all people</w:t>
      </w:r>
      <w:r w:rsidR="00130D74">
        <w:rPr>
          <w:lang w:val="en-US"/>
        </w:rPr>
        <w:t>.</w:t>
      </w:r>
    </w:p>
    <w:p w14:paraId="617B7F09" w14:textId="6E3D2DAE" w:rsidR="00B25168" w:rsidRDefault="00114BAD" w:rsidP="00697F59">
      <w:pPr>
        <w:contextualSpacing/>
        <w:jc w:val="both"/>
        <w:rPr>
          <w:rFonts w:eastAsia="Calibri"/>
          <w:b/>
          <w:lang w:val="kk-KZ" w:eastAsia="zh-CN"/>
        </w:rPr>
      </w:pPr>
      <w:r w:rsidRPr="00B22E37">
        <w:rPr>
          <w:b/>
          <w:bCs/>
          <w:lang w:val="en-US"/>
        </w:rPr>
        <w:t>E&amp;S risks</w:t>
      </w:r>
      <w:r w:rsidRPr="00B22E37">
        <w:rPr>
          <w:lang w:val="en-US"/>
        </w:rPr>
        <w:t xml:space="preserve"> </w:t>
      </w:r>
      <w:r>
        <w:rPr>
          <w:lang w:val="en-US"/>
        </w:rPr>
        <w:t xml:space="preserve">mean </w:t>
      </w:r>
      <w:r w:rsidRPr="00B22E37">
        <w:rPr>
          <w:lang w:val="en-US"/>
        </w:rPr>
        <w:t>environmental and social risks</w:t>
      </w:r>
      <w:r w:rsidR="00723021">
        <w:rPr>
          <w:rFonts w:eastAsia="Calibri"/>
          <w:bCs/>
          <w:lang w:val="kk-KZ" w:eastAsia="zh-CN"/>
        </w:rPr>
        <w:t>.</w:t>
      </w:r>
    </w:p>
    <w:p w14:paraId="617B7F0A" w14:textId="33711F95" w:rsidR="00B25168" w:rsidRPr="00130D74" w:rsidRDefault="00130D74">
      <w:pPr>
        <w:pStyle w:val="1"/>
        <w:rPr>
          <w:color w:val="auto"/>
          <w:lang w:val="en-US"/>
        </w:rPr>
      </w:pPr>
      <w:bookmarkStart w:id="13" w:name="_Toc203989737"/>
      <w:r w:rsidRPr="00130D74">
        <w:rPr>
          <w:color w:val="auto"/>
          <w:lang w:val="en-US"/>
        </w:rPr>
        <w:t>Chapter 3: The Bank’s Sustainable Profile</w:t>
      </w:r>
      <w:bookmarkEnd w:id="13"/>
    </w:p>
    <w:p w14:paraId="67CFE874" w14:textId="1479C137" w:rsidR="00130D74" w:rsidRPr="0071087D" w:rsidRDefault="00130D74" w:rsidP="00697F59">
      <w:pPr>
        <w:pStyle w:val="Default"/>
        <w:numPr>
          <w:ilvl w:val="0"/>
          <w:numId w:val="34"/>
        </w:numPr>
        <w:tabs>
          <w:tab w:val="left" w:pos="284"/>
        </w:tabs>
        <w:ind w:left="0" w:firstLine="0"/>
        <w:jc w:val="both"/>
        <w:rPr>
          <w:lang w:val="en-US"/>
        </w:rPr>
      </w:pPr>
      <w:r w:rsidRPr="0071087D">
        <w:rPr>
          <w:lang w:val="en-US"/>
        </w:rPr>
        <w:t>Joint Stock Com</w:t>
      </w:r>
      <w:r>
        <w:rPr>
          <w:lang w:val="en-US"/>
        </w:rPr>
        <w:t>pany “Bank CenterCredit”</w:t>
      </w:r>
      <w:r w:rsidRPr="0071087D">
        <w:rPr>
          <w:lang w:val="en-US"/>
        </w:rPr>
        <w:t xml:space="preserve"> established on September 19, 1988, is one of the largest banks in the Republic of Kazakhstan, offering a full range of </w:t>
      </w:r>
      <w:r>
        <w:rPr>
          <w:lang w:val="en-US"/>
        </w:rPr>
        <w:t xml:space="preserve">high-tech </w:t>
      </w:r>
      <w:r w:rsidRPr="0071087D">
        <w:rPr>
          <w:lang w:val="en-US"/>
        </w:rPr>
        <w:t>financial services across all regions of the country.</w:t>
      </w:r>
    </w:p>
    <w:p w14:paraId="2E158B66" w14:textId="77777777" w:rsidR="00130D74" w:rsidRPr="0071087D" w:rsidRDefault="00130D74" w:rsidP="00697F59">
      <w:pPr>
        <w:ind w:firstLine="284"/>
        <w:jc w:val="both"/>
        <w:rPr>
          <w:lang w:val="en-US"/>
        </w:rPr>
      </w:pPr>
      <w:r w:rsidRPr="0071087D">
        <w:rPr>
          <w:lang w:val="en-US"/>
        </w:rPr>
        <w:t xml:space="preserve">The Bank </w:t>
      </w:r>
      <w:r>
        <w:rPr>
          <w:lang w:val="en-US"/>
        </w:rPr>
        <w:t>provides</w:t>
      </w:r>
      <w:r w:rsidRPr="0071087D">
        <w:rPr>
          <w:lang w:val="en-US"/>
        </w:rPr>
        <w:t xml:space="preserve"> financial services to companies in the real economy sector, thereby indirectly contributing to the decarbonization of the economy. The Bank </w:t>
      </w:r>
      <w:r>
        <w:rPr>
          <w:lang w:val="en-US"/>
        </w:rPr>
        <w:t>aims to act</w:t>
      </w:r>
      <w:r w:rsidRPr="0071087D">
        <w:rPr>
          <w:lang w:val="en-US"/>
        </w:rPr>
        <w:t xml:space="preserve"> in the best long-term interests of </w:t>
      </w:r>
      <w:r w:rsidRPr="0071087D">
        <w:rPr>
          <w:lang w:val="en-US"/>
        </w:rPr>
        <w:lastRenderedPageBreak/>
        <w:t xml:space="preserve">society and the </w:t>
      </w:r>
      <w:r>
        <w:rPr>
          <w:lang w:val="en-US"/>
        </w:rPr>
        <w:t>government</w:t>
      </w:r>
      <w:r w:rsidRPr="0071087D">
        <w:rPr>
          <w:lang w:val="en-US"/>
        </w:rPr>
        <w:t xml:space="preserve">, </w:t>
      </w:r>
      <w:r>
        <w:rPr>
          <w:lang w:val="en-US"/>
        </w:rPr>
        <w:t xml:space="preserve">to </w:t>
      </w:r>
      <w:r w:rsidRPr="0071087D">
        <w:rPr>
          <w:lang w:val="en-US"/>
        </w:rPr>
        <w:t>mak</w:t>
      </w:r>
      <w:r>
        <w:rPr>
          <w:lang w:val="en-US"/>
        </w:rPr>
        <w:t>e a positive contribution to</w:t>
      </w:r>
      <w:r w:rsidRPr="0071087D">
        <w:rPr>
          <w:lang w:val="en-US"/>
        </w:rPr>
        <w:t xml:space="preserve"> improv</w:t>
      </w:r>
      <w:r>
        <w:rPr>
          <w:lang w:val="en-US"/>
        </w:rPr>
        <w:t>e the</w:t>
      </w:r>
      <w:r w:rsidRPr="0071087D">
        <w:rPr>
          <w:lang w:val="en-US"/>
        </w:rPr>
        <w:t xml:space="preserve"> citizens’ quality of life, socio-economic development, and environmental sustainability.</w:t>
      </w:r>
    </w:p>
    <w:p w14:paraId="0B91990E" w14:textId="77777777" w:rsidR="00130D74" w:rsidRPr="0071087D" w:rsidRDefault="00130D74" w:rsidP="00697F59">
      <w:pPr>
        <w:jc w:val="both"/>
        <w:rPr>
          <w:lang w:val="en-US"/>
        </w:rPr>
      </w:pPr>
      <w:r w:rsidRPr="0071087D">
        <w:rPr>
          <w:lang w:val="en-US"/>
        </w:rPr>
        <w:t>The Bank has identified the following key focus areas in sustainable financ</w:t>
      </w:r>
      <w:r>
        <w:rPr>
          <w:lang w:val="en-US"/>
        </w:rPr>
        <w:t>ing</w:t>
      </w:r>
      <w:r w:rsidRPr="0071087D">
        <w:rPr>
          <w:lang w:val="en-US"/>
        </w:rPr>
        <w:t>:</w:t>
      </w:r>
    </w:p>
    <w:p w14:paraId="6BA96F1F" w14:textId="1C1DD4CF" w:rsidR="00130D74" w:rsidRPr="003B2200" w:rsidRDefault="00130D74" w:rsidP="003B2200">
      <w:pPr>
        <w:pStyle w:val="ad"/>
        <w:numPr>
          <w:ilvl w:val="0"/>
          <w:numId w:val="35"/>
        </w:numPr>
        <w:tabs>
          <w:tab w:val="left" w:pos="851"/>
        </w:tabs>
        <w:ind w:left="0" w:firstLine="567"/>
        <w:jc w:val="both"/>
        <w:rPr>
          <w:lang w:val="kk-KZ"/>
        </w:rPr>
      </w:pPr>
      <w:r w:rsidRPr="003B2200">
        <w:rPr>
          <w:lang w:val="kk-KZ"/>
        </w:rPr>
        <w:t>ensuring comprehensive assessment of climate-related risks and minimizing their impact on the loan portfolio;</w:t>
      </w:r>
    </w:p>
    <w:p w14:paraId="5E18EB93" w14:textId="5A5B715F" w:rsidR="00130D74" w:rsidRPr="003B2200" w:rsidRDefault="00130D74" w:rsidP="003B2200">
      <w:pPr>
        <w:pStyle w:val="ad"/>
        <w:numPr>
          <w:ilvl w:val="0"/>
          <w:numId w:val="35"/>
        </w:numPr>
        <w:tabs>
          <w:tab w:val="left" w:pos="851"/>
        </w:tabs>
        <w:ind w:left="0" w:firstLine="567"/>
        <w:jc w:val="both"/>
        <w:rPr>
          <w:lang w:val="kk-KZ"/>
        </w:rPr>
      </w:pPr>
      <w:r w:rsidRPr="003B2200">
        <w:rPr>
          <w:lang w:val="kk-KZ"/>
        </w:rPr>
        <w:t>conducting Environmental and Social Due Diligence (ESDD) to minimize potential liabilities and risks for the Bank during the loan issue procedure;</w:t>
      </w:r>
    </w:p>
    <w:p w14:paraId="7D125538" w14:textId="01193843" w:rsidR="00130D74" w:rsidRPr="003B2200" w:rsidRDefault="00130D74" w:rsidP="003B2200">
      <w:pPr>
        <w:pStyle w:val="ad"/>
        <w:numPr>
          <w:ilvl w:val="0"/>
          <w:numId w:val="35"/>
        </w:numPr>
        <w:tabs>
          <w:tab w:val="left" w:pos="851"/>
        </w:tabs>
        <w:ind w:left="0" w:firstLine="567"/>
        <w:jc w:val="both"/>
        <w:rPr>
          <w:lang w:val="kk-KZ"/>
        </w:rPr>
      </w:pPr>
      <w:r w:rsidRPr="003B2200">
        <w:rPr>
          <w:lang w:val="kk-KZ"/>
        </w:rPr>
        <w:t>financing activities and projects that positively contribute to achieving sustainable development goals;</w:t>
      </w:r>
    </w:p>
    <w:p w14:paraId="435C37FC" w14:textId="1445F440" w:rsidR="00130D74" w:rsidRPr="003B2200" w:rsidRDefault="00130D74" w:rsidP="003B2200">
      <w:pPr>
        <w:pStyle w:val="ad"/>
        <w:numPr>
          <w:ilvl w:val="0"/>
          <w:numId w:val="35"/>
        </w:numPr>
        <w:tabs>
          <w:tab w:val="left" w:pos="851"/>
        </w:tabs>
        <w:ind w:left="0" w:firstLine="567"/>
        <w:jc w:val="both"/>
        <w:rPr>
          <w:lang w:val="kk-KZ"/>
        </w:rPr>
      </w:pPr>
      <w:r w:rsidRPr="003B2200">
        <w:rPr>
          <w:lang w:val="kk-KZ"/>
        </w:rPr>
        <w:t>gradual reduction in financing related to activities and projects contradicting the achievement of sustainable development goals.</w:t>
      </w:r>
    </w:p>
    <w:p w14:paraId="274C166B" w14:textId="1902BC7C" w:rsidR="00130D74" w:rsidRPr="003B2200" w:rsidRDefault="00130D74" w:rsidP="003B2200">
      <w:pPr>
        <w:pStyle w:val="Default"/>
        <w:numPr>
          <w:ilvl w:val="0"/>
          <w:numId w:val="34"/>
        </w:numPr>
        <w:tabs>
          <w:tab w:val="left" w:pos="284"/>
          <w:tab w:val="left" w:pos="426"/>
        </w:tabs>
        <w:ind w:left="0" w:firstLine="0"/>
        <w:jc w:val="both"/>
        <w:rPr>
          <w:lang w:val="en-US"/>
        </w:rPr>
      </w:pPr>
      <w:r w:rsidRPr="003B2200">
        <w:rPr>
          <w:lang w:val="en-US"/>
        </w:rPr>
        <w:t>The Bank has approved and implemented a number of key documents governing various aspects of sustainable development. These documents reflect the Bank’s strategic priorities and confirm its commitment to the principles of corporate responsibility:</w:t>
      </w:r>
    </w:p>
    <w:p w14:paraId="2D04C49D" w14:textId="7BD290CE" w:rsidR="00130D74" w:rsidRPr="003B2200" w:rsidRDefault="00130D74" w:rsidP="003B2200">
      <w:pPr>
        <w:pStyle w:val="ad"/>
        <w:numPr>
          <w:ilvl w:val="0"/>
          <w:numId w:val="35"/>
        </w:numPr>
        <w:tabs>
          <w:tab w:val="left" w:pos="851"/>
        </w:tabs>
        <w:ind w:left="0" w:firstLine="567"/>
        <w:jc w:val="both"/>
        <w:rPr>
          <w:lang w:val="kk-KZ"/>
        </w:rPr>
      </w:pPr>
      <w:r w:rsidRPr="003B2200">
        <w:rPr>
          <w:lang w:val="kk-KZ"/>
        </w:rPr>
        <w:t>JSC Bank CenterCredit Sustainability Policy;</w:t>
      </w:r>
    </w:p>
    <w:p w14:paraId="2AF796AD" w14:textId="580A3B40" w:rsidR="00130D74" w:rsidRPr="003B2200" w:rsidRDefault="00130D74" w:rsidP="003B2200">
      <w:pPr>
        <w:pStyle w:val="ad"/>
        <w:numPr>
          <w:ilvl w:val="0"/>
          <w:numId w:val="35"/>
        </w:numPr>
        <w:tabs>
          <w:tab w:val="left" w:pos="851"/>
        </w:tabs>
        <w:ind w:left="0" w:firstLine="567"/>
        <w:jc w:val="both"/>
        <w:rPr>
          <w:lang w:val="kk-KZ"/>
        </w:rPr>
      </w:pPr>
      <w:r w:rsidRPr="003B2200">
        <w:rPr>
          <w:lang w:val="kk-KZ"/>
        </w:rPr>
        <w:t>JSC Bank CenterCredit Environmental and Social Risk Management Policy;</w:t>
      </w:r>
    </w:p>
    <w:p w14:paraId="775C23F1" w14:textId="1B8FEF60" w:rsidR="00130D74" w:rsidRPr="003B2200" w:rsidRDefault="00130D74" w:rsidP="003B2200">
      <w:pPr>
        <w:pStyle w:val="ad"/>
        <w:numPr>
          <w:ilvl w:val="0"/>
          <w:numId w:val="35"/>
        </w:numPr>
        <w:tabs>
          <w:tab w:val="left" w:pos="851"/>
        </w:tabs>
        <w:ind w:left="0" w:firstLine="567"/>
        <w:jc w:val="both"/>
        <w:rPr>
          <w:lang w:val="kk-KZ"/>
        </w:rPr>
      </w:pPr>
      <w:r w:rsidRPr="003B2200">
        <w:rPr>
          <w:lang w:val="kk-KZ"/>
        </w:rPr>
        <w:t>JSC Bank CenterCredit Human Rights Policy;</w:t>
      </w:r>
    </w:p>
    <w:p w14:paraId="24DBBE20" w14:textId="7BDF09A4" w:rsidR="00130D74" w:rsidRPr="003B2200" w:rsidRDefault="00130D74" w:rsidP="003B2200">
      <w:pPr>
        <w:pStyle w:val="ad"/>
        <w:numPr>
          <w:ilvl w:val="0"/>
          <w:numId w:val="35"/>
        </w:numPr>
        <w:tabs>
          <w:tab w:val="left" w:pos="851"/>
        </w:tabs>
        <w:ind w:left="0" w:firstLine="567"/>
        <w:jc w:val="both"/>
        <w:rPr>
          <w:lang w:val="kk-KZ"/>
        </w:rPr>
      </w:pPr>
      <w:r w:rsidRPr="003B2200">
        <w:rPr>
          <w:lang w:val="kk-KZ"/>
        </w:rPr>
        <w:t>JSC Bank CenterCredit Anti-Corruption Policy;</w:t>
      </w:r>
    </w:p>
    <w:p w14:paraId="1D19A8EB" w14:textId="3681DBA1" w:rsidR="00130D74" w:rsidRPr="003B2200" w:rsidRDefault="00130D74" w:rsidP="003B2200">
      <w:pPr>
        <w:pStyle w:val="ad"/>
        <w:numPr>
          <w:ilvl w:val="0"/>
          <w:numId w:val="35"/>
        </w:numPr>
        <w:tabs>
          <w:tab w:val="left" w:pos="851"/>
        </w:tabs>
        <w:ind w:left="0" w:firstLine="567"/>
        <w:jc w:val="both"/>
        <w:rPr>
          <w:lang w:val="kk-KZ"/>
        </w:rPr>
      </w:pPr>
      <w:r w:rsidRPr="003B2200">
        <w:rPr>
          <w:lang w:val="kk-KZ"/>
        </w:rPr>
        <w:t>JSC Bank CenterCredit Code of Corporate Ethics;</w:t>
      </w:r>
    </w:p>
    <w:p w14:paraId="7C720A4C" w14:textId="2ED37D7D" w:rsidR="00130D74" w:rsidRPr="003B2200" w:rsidRDefault="00130D74" w:rsidP="003B2200">
      <w:pPr>
        <w:pStyle w:val="ad"/>
        <w:numPr>
          <w:ilvl w:val="0"/>
          <w:numId w:val="35"/>
        </w:numPr>
        <w:tabs>
          <w:tab w:val="left" w:pos="851"/>
        </w:tabs>
        <w:ind w:left="0" w:firstLine="567"/>
        <w:jc w:val="both"/>
        <w:rPr>
          <w:lang w:val="kk-KZ"/>
        </w:rPr>
      </w:pPr>
      <w:r w:rsidRPr="003B2200">
        <w:rPr>
          <w:lang w:val="kk-KZ"/>
        </w:rPr>
        <w:t xml:space="preserve">Regulations on the </w:t>
      </w:r>
      <w:r w:rsidR="00936524" w:rsidRPr="003B2200">
        <w:rPr>
          <w:lang w:val="kk-KZ"/>
        </w:rPr>
        <w:t>Commission on Sustainable Development</w:t>
      </w:r>
      <w:r w:rsidRPr="003B2200">
        <w:rPr>
          <w:lang w:val="kk-KZ"/>
        </w:rPr>
        <w:t xml:space="preserve"> under JSC Bank CenterCredit Board of Directors;</w:t>
      </w:r>
    </w:p>
    <w:p w14:paraId="3E01F806" w14:textId="028201A0" w:rsidR="00130D74" w:rsidRPr="003B2200" w:rsidRDefault="00130D74" w:rsidP="003B2200">
      <w:pPr>
        <w:pStyle w:val="ad"/>
        <w:numPr>
          <w:ilvl w:val="0"/>
          <w:numId w:val="35"/>
        </w:numPr>
        <w:tabs>
          <w:tab w:val="left" w:pos="851"/>
        </w:tabs>
        <w:ind w:left="0" w:firstLine="567"/>
        <w:jc w:val="both"/>
        <w:rPr>
          <w:lang w:val="kk-KZ"/>
        </w:rPr>
      </w:pPr>
      <w:r w:rsidRPr="003B2200">
        <w:rPr>
          <w:lang w:val="kk-KZ"/>
        </w:rPr>
        <w:t xml:space="preserve">Regulations on Interaction with Counterparties, according to ESG rules in JSC Bank CenterCredit.  </w:t>
      </w:r>
    </w:p>
    <w:p w14:paraId="6C94E61A" w14:textId="77777777" w:rsidR="00130D74" w:rsidRDefault="00130D74" w:rsidP="003B2200">
      <w:pPr>
        <w:ind w:firstLine="284"/>
        <w:jc w:val="both"/>
        <w:rPr>
          <w:lang w:val="en-US"/>
        </w:rPr>
      </w:pPr>
      <w:r w:rsidRPr="00934920">
        <w:rPr>
          <w:lang w:val="en-US"/>
        </w:rPr>
        <w:t xml:space="preserve">The Bank’s commitments set forth in the relevant policies shall be binding on all employees in the course of planning and executing activities related to stakeholder engagement or </w:t>
      </w:r>
      <w:r>
        <w:rPr>
          <w:lang w:val="en-US"/>
        </w:rPr>
        <w:t>affecting</w:t>
      </w:r>
      <w:r w:rsidRPr="00934920">
        <w:rPr>
          <w:lang w:val="en-US"/>
        </w:rPr>
        <w:t xml:space="preserve"> stakeholder interests, as well as during the preparation and approval of internal regulations, development and implementation of business processes, information exchange, and other types of communication.</w:t>
      </w:r>
    </w:p>
    <w:p w14:paraId="3A9E9D65" w14:textId="32069100" w:rsidR="00130D74" w:rsidRDefault="00130D74" w:rsidP="003B2200">
      <w:pPr>
        <w:pStyle w:val="Default"/>
        <w:numPr>
          <w:ilvl w:val="0"/>
          <w:numId w:val="34"/>
        </w:numPr>
        <w:tabs>
          <w:tab w:val="left" w:pos="284"/>
          <w:tab w:val="left" w:pos="426"/>
        </w:tabs>
        <w:ind w:left="0" w:firstLine="0"/>
        <w:jc w:val="both"/>
        <w:rPr>
          <w:lang w:val="en-US"/>
        </w:rPr>
      </w:pPr>
      <w:r w:rsidRPr="005B0835">
        <w:rPr>
          <w:lang w:val="en-US"/>
        </w:rPr>
        <w:t xml:space="preserve">The Bank has developed and approved a long-term Climate Strategy outlining </w:t>
      </w:r>
      <w:r>
        <w:rPr>
          <w:lang w:val="en-US"/>
        </w:rPr>
        <w:t xml:space="preserve">the </w:t>
      </w:r>
      <w:r w:rsidRPr="005B0835">
        <w:rPr>
          <w:lang w:val="en-US"/>
        </w:rPr>
        <w:t xml:space="preserve">objectives, measures, and initiatives to achieve carbon neutrality. This </w:t>
      </w:r>
      <w:r w:rsidR="00936524" w:rsidRPr="005B0835">
        <w:rPr>
          <w:lang w:val="en-US"/>
        </w:rPr>
        <w:t>Strategy</w:t>
      </w:r>
      <w:r w:rsidR="00936524">
        <w:rPr>
          <w:lang w:val="en-US"/>
        </w:rPr>
        <w:t xml:space="preserve"> defines</w:t>
      </w:r>
      <w:r w:rsidRPr="005B0835">
        <w:rPr>
          <w:lang w:val="en-US"/>
        </w:rPr>
        <w:t xml:space="preserve"> interim and long-term targets (through 2030) for reducing the Bank’s carbon footprint both in its own operations and across its financed corporate loan portfolio, along with targets for expanding its green </w:t>
      </w:r>
      <w:r>
        <w:rPr>
          <w:lang w:val="en-US"/>
        </w:rPr>
        <w:t>loan</w:t>
      </w:r>
      <w:r w:rsidRPr="005B0835">
        <w:rPr>
          <w:lang w:val="en-US"/>
        </w:rPr>
        <w:t xml:space="preserve"> portfolio. </w:t>
      </w:r>
      <w:r w:rsidRPr="001D4138">
        <w:rPr>
          <w:lang w:val="en-US"/>
        </w:rPr>
        <w:t xml:space="preserve">Starting from </w:t>
      </w:r>
      <w:r>
        <w:rPr>
          <w:lang w:val="en-US"/>
        </w:rPr>
        <w:t xml:space="preserve">2024, the Bank’s ESG Strategy, </w:t>
      </w:r>
      <w:r w:rsidRPr="001D4138">
        <w:rPr>
          <w:lang w:val="en-US"/>
        </w:rPr>
        <w:t>which outlines the Bank’s environmental, social, and governance objectives beyond its Climate Strategy</w:t>
      </w:r>
      <w:r>
        <w:rPr>
          <w:lang w:val="en-US"/>
        </w:rPr>
        <w:t xml:space="preserve">, </w:t>
      </w:r>
      <w:r w:rsidRPr="001D4138">
        <w:rPr>
          <w:lang w:val="en-US"/>
        </w:rPr>
        <w:t>has been integrated into the Bank’s Corporate Long-Term Development Strategy.</w:t>
      </w:r>
    </w:p>
    <w:p w14:paraId="7209018E" w14:textId="4BB9D024" w:rsidR="00130D74" w:rsidRPr="005B0835" w:rsidRDefault="00130D74" w:rsidP="003B2200">
      <w:pPr>
        <w:pStyle w:val="Default"/>
        <w:numPr>
          <w:ilvl w:val="0"/>
          <w:numId w:val="34"/>
        </w:numPr>
        <w:tabs>
          <w:tab w:val="left" w:pos="284"/>
          <w:tab w:val="left" w:pos="426"/>
        </w:tabs>
        <w:ind w:left="0" w:firstLine="0"/>
        <w:jc w:val="both"/>
        <w:rPr>
          <w:lang w:val="en-US"/>
        </w:rPr>
      </w:pPr>
      <w:r w:rsidRPr="005B0835">
        <w:rPr>
          <w:lang w:val="en-US"/>
        </w:rPr>
        <w:t xml:space="preserve">The Bank has joined the United Nations Global Compact and </w:t>
      </w:r>
      <w:r>
        <w:rPr>
          <w:lang w:val="en-US"/>
        </w:rPr>
        <w:t>shall observe</w:t>
      </w:r>
      <w:r w:rsidRPr="005B0835">
        <w:rPr>
          <w:lang w:val="en-US"/>
        </w:rPr>
        <w:t xml:space="preserve"> principles in the areas of human rights, labor, environment, and anti-corruption, actively promoting these principles among stakeholders and embedding them into its operations.</w:t>
      </w:r>
    </w:p>
    <w:p w14:paraId="5E8DAAEE" w14:textId="77777777" w:rsidR="00130D74" w:rsidRPr="005B0835" w:rsidRDefault="00130D74" w:rsidP="003B2200">
      <w:pPr>
        <w:pStyle w:val="Default"/>
        <w:tabs>
          <w:tab w:val="left" w:pos="284"/>
          <w:tab w:val="left" w:pos="426"/>
        </w:tabs>
        <w:ind w:firstLine="284"/>
        <w:jc w:val="both"/>
        <w:rPr>
          <w:lang w:val="en-US"/>
        </w:rPr>
      </w:pPr>
      <w:r w:rsidRPr="005B0835">
        <w:rPr>
          <w:lang w:val="en-US"/>
        </w:rPr>
        <w:t>The Bank p</w:t>
      </w:r>
      <w:r>
        <w:rPr>
          <w:lang w:val="en-US"/>
        </w:rPr>
        <w:t>articipates in joint partner</w:t>
      </w:r>
      <w:r w:rsidRPr="005B0835">
        <w:rPr>
          <w:lang w:val="en-US"/>
        </w:rPr>
        <w:t xml:space="preserve"> projects with the European Bank for Reconstruction and Development (EBRD) and the </w:t>
      </w:r>
      <w:r w:rsidRPr="007A1C76">
        <w:rPr>
          <w:lang w:val="en-US"/>
        </w:rPr>
        <w:t xml:space="preserve">United Nations Development Programme </w:t>
      </w:r>
      <w:r w:rsidRPr="005B0835">
        <w:rPr>
          <w:lang w:val="en-US"/>
        </w:rPr>
        <w:t xml:space="preserve">(UNDP). </w:t>
      </w:r>
      <w:r>
        <w:rPr>
          <w:lang w:val="en-US"/>
        </w:rPr>
        <w:t>As part of these</w:t>
      </w:r>
      <w:r w:rsidRPr="005B0835">
        <w:rPr>
          <w:lang w:val="en-US"/>
        </w:rPr>
        <w:t xml:space="preserve"> </w:t>
      </w:r>
      <w:r>
        <w:rPr>
          <w:lang w:val="en-US"/>
        </w:rPr>
        <w:t>projects</w:t>
      </w:r>
      <w:r w:rsidRPr="005B0835">
        <w:rPr>
          <w:lang w:val="en-US"/>
        </w:rPr>
        <w:t xml:space="preserve">, the Bank receives </w:t>
      </w:r>
      <w:r>
        <w:rPr>
          <w:lang w:val="en-US"/>
        </w:rPr>
        <w:t>competent advice</w:t>
      </w:r>
      <w:r w:rsidRPr="005B0835">
        <w:rPr>
          <w:lang w:val="en-US"/>
        </w:rPr>
        <w:t xml:space="preserve"> from international institutions, specialized training</w:t>
      </w:r>
      <w:r>
        <w:rPr>
          <w:lang w:val="en-US"/>
        </w:rPr>
        <w:t>s</w:t>
      </w:r>
      <w:r w:rsidRPr="005B0835">
        <w:rPr>
          <w:lang w:val="en-US"/>
        </w:rPr>
        <w:t xml:space="preserve"> for employees and c</w:t>
      </w:r>
      <w:r>
        <w:rPr>
          <w:lang w:val="en-US"/>
        </w:rPr>
        <w:t>ustomers of the Bank</w:t>
      </w:r>
      <w:r w:rsidRPr="005B0835">
        <w:rPr>
          <w:lang w:val="en-US"/>
        </w:rPr>
        <w:t xml:space="preserve">, </w:t>
      </w:r>
      <w:r>
        <w:rPr>
          <w:lang w:val="en-US"/>
        </w:rPr>
        <w:t>and</w:t>
      </w:r>
      <w:r w:rsidRPr="002B6AA8">
        <w:rPr>
          <w:lang w:val="en-US"/>
        </w:rPr>
        <w:t xml:space="preserve"> audits to ensure that its operations comply with leading internat</w:t>
      </w:r>
      <w:r>
        <w:rPr>
          <w:lang w:val="en-US"/>
        </w:rPr>
        <w:t>ional sustainability practices.</w:t>
      </w:r>
    </w:p>
    <w:p w14:paraId="7BE36086" w14:textId="77777777" w:rsidR="00130D74" w:rsidRDefault="00130D74" w:rsidP="003B2200">
      <w:pPr>
        <w:pStyle w:val="Default"/>
        <w:tabs>
          <w:tab w:val="left" w:pos="284"/>
          <w:tab w:val="left" w:pos="426"/>
        </w:tabs>
        <w:ind w:firstLine="284"/>
        <w:jc w:val="both"/>
        <w:rPr>
          <w:lang w:val="en-US"/>
        </w:rPr>
      </w:pPr>
      <w:r w:rsidRPr="002B6AA8">
        <w:rPr>
          <w:lang w:val="en-US"/>
        </w:rPr>
        <w:t>In addition, the Bank cooperates with the EBRD under the Green Economy Financing Facility (GEFF) and the Wom</w:t>
      </w:r>
      <w:r>
        <w:rPr>
          <w:lang w:val="en-US"/>
        </w:rPr>
        <w:t>en in Business (WiB) Programme.</w:t>
      </w:r>
    </w:p>
    <w:p w14:paraId="5CFADC61" w14:textId="4B1AFA9A" w:rsidR="00130D74" w:rsidRDefault="00130D74" w:rsidP="003B2200">
      <w:pPr>
        <w:pStyle w:val="Default"/>
        <w:numPr>
          <w:ilvl w:val="0"/>
          <w:numId w:val="34"/>
        </w:numPr>
        <w:tabs>
          <w:tab w:val="left" w:pos="284"/>
          <w:tab w:val="left" w:pos="426"/>
        </w:tabs>
        <w:ind w:left="0" w:firstLine="0"/>
        <w:jc w:val="both"/>
        <w:rPr>
          <w:lang w:val="en-US"/>
        </w:rPr>
      </w:pPr>
      <w:r w:rsidRPr="00323CDA">
        <w:rPr>
          <w:lang w:val="en-US"/>
        </w:rPr>
        <w:t xml:space="preserve">In pursuing its sustainable development goals, the Bank </w:t>
      </w:r>
      <w:r>
        <w:rPr>
          <w:lang w:val="en-US"/>
        </w:rPr>
        <w:t>shall take</w:t>
      </w:r>
      <w:r w:rsidRPr="00323CDA">
        <w:rPr>
          <w:lang w:val="en-US"/>
        </w:rPr>
        <w:t xml:space="preserve"> into account the interests</w:t>
      </w:r>
      <w:r>
        <w:rPr>
          <w:lang w:val="en-US"/>
        </w:rPr>
        <w:t xml:space="preserve"> of all stakeholders and </w:t>
      </w:r>
      <w:r w:rsidR="006B3FA1">
        <w:rPr>
          <w:lang w:val="en-US"/>
        </w:rPr>
        <w:t xml:space="preserve">interact </w:t>
      </w:r>
      <w:r w:rsidR="006B3FA1" w:rsidRPr="00323CDA">
        <w:rPr>
          <w:lang w:val="en-US"/>
        </w:rPr>
        <w:t>with</w:t>
      </w:r>
      <w:r w:rsidRPr="00323CDA">
        <w:rPr>
          <w:lang w:val="en-US"/>
        </w:rPr>
        <w:t xml:space="preserve"> them in accordance with the AA1000SES Standard, guided by the following principles:</w:t>
      </w:r>
    </w:p>
    <w:p w14:paraId="1EE55E11" w14:textId="32BE52BB" w:rsidR="00130D74" w:rsidRPr="003B2200" w:rsidRDefault="00130D74" w:rsidP="003B2200">
      <w:pPr>
        <w:pStyle w:val="ad"/>
        <w:numPr>
          <w:ilvl w:val="0"/>
          <w:numId w:val="35"/>
        </w:numPr>
        <w:tabs>
          <w:tab w:val="left" w:pos="851"/>
        </w:tabs>
        <w:ind w:left="0" w:firstLine="567"/>
        <w:jc w:val="both"/>
        <w:rPr>
          <w:lang w:val="kk-KZ"/>
        </w:rPr>
      </w:pPr>
      <w:r w:rsidRPr="003B2200">
        <w:rPr>
          <w:lang w:val="kk-KZ"/>
        </w:rPr>
        <w:t>Materiality – the Bank clearly identifies its stakeholders and recognizes which of their interests are material.</w:t>
      </w:r>
    </w:p>
    <w:p w14:paraId="60566A12" w14:textId="0A712C54" w:rsidR="00130D74" w:rsidRPr="003B2200" w:rsidRDefault="00130D74" w:rsidP="003B2200">
      <w:pPr>
        <w:pStyle w:val="ad"/>
        <w:numPr>
          <w:ilvl w:val="0"/>
          <w:numId w:val="35"/>
        </w:numPr>
        <w:tabs>
          <w:tab w:val="left" w:pos="851"/>
        </w:tabs>
        <w:ind w:left="0" w:firstLine="567"/>
        <w:jc w:val="both"/>
        <w:rPr>
          <w:lang w:val="kk-KZ"/>
        </w:rPr>
      </w:pPr>
      <w:r w:rsidRPr="003B2200">
        <w:rPr>
          <w:lang w:val="kk-KZ"/>
        </w:rPr>
        <w:t xml:space="preserve">Completeness – in the course of its activities, the Bank </w:t>
      </w:r>
      <w:r w:rsidR="00936524" w:rsidRPr="003B2200">
        <w:rPr>
          <w:lang w:val="kk-KZ"/>
        </w:rPr>
        <w:t>considers stakeholders’ concerns</w:t>
      </w:r>
      <w:r w:rsidRPr="003B2200">
        <w:rPr>
          <w:lang w:val="kk-KZ"/>
        </w:rPr>
        <w:t xml:space="preserve"> and seeks to understand their views on significant issues, needs, and expected outcomes.</w:t>
      </w:r>
    </w:p>
    <w:p w14:paraId="6E3021B5" w14:textId="3BE9911F" w:rsidR="00130D74" w:rsidRPr="003B2200" w:rsidRDefault="00130D74" w:rsidP="003B2200">
      <w:pPr>
        <w:pStyle w:val="ad"/>
        <w:numPr>
          <w:ilvl w:val="0"/>
          <w:numId w:val="35"/>
        </w:numPr>
        <w:tabs>
          <w:tab w:val="left" w:pos="851"/>
        </w:tabs>
        <w:ind w:left="0" w:firstLine="567"/>
        <w:jc w:val="both"/>
        <w:rPr>
          <w:lang w:val="kk-KZ"/>
        </w:rPr>
      </w:pPr>
      <w:r w:rsidRPr="003B2200">
        <w:rPr>
          <w:lang w:val="kk-KZ"/>
        </w:rPr>
        <w:t>Responsiveness – the Bank consistently addresses all material stakeholder issues in the course of its activities.</w:t>
      </w:r>
    </w:p>
    <w:p w14:paraId="478A0F8B" w14:textId="1B570909" w:rsidR="00130D74" w:rsidRPr="00323CDA" w:rsidRDefault="00130D74" w:rsidP="003B2200">
      <w:pPr>
        <w:ind w:firstLine="284"/>
        <w:jc w:val="both"/>
        <w:rPr>
          <w:lang w:val="en-US"/>
        </w:rPr>
      </w:pPr>
      <w:r w:rsidRPr="00BF749E">
        <w:rPr>
          <w:lang w:val="en-US"/>
        </w:rPr>
        <w:lastRenderedPageBreak/>
        <w:t xml:space="preserve">According to the Sustainability Policy, the Bank has identified 11 stakeholder groups that it </w:t>
      </w:r>
      <w:r w:rsidR="006B3FA1" w:rsidRPr="00BF749E">
        <w:rPr>
          <w:lang w:val="en-US"/>
        </w:rPr>
        <w:t>affects</w:t>
      </w:r>
      <w:r w:rsidRPr="00BF749E">
        <w:rPr>
          <w:lang w:val="en-US"/>
        </w:rPr>
        <w:t xml:space="preserve"> and that are considered significant to its operations. The Bank </w:t>
      </w:r>
      <w:r>
        <w:rPr>
          <w:lang w:val="en-US"/>
        </w:rPr>
        <w:t>shall conduct the</w:t>
      </w:r>
      <w:r w:rsidRPr="00BF749E">
        <w:rPr>
          <w:lang w:val="en-US"/>
        </w:rPr>
        <w:t xml:space="preserve"> annual stakeholder surveys to identify material topics, which are incorporated into the planning and implementation of its sustainability initiatives. </w:t>
      </w:r>
    </w:p>
    <w:p w14:paraId="16832BD4" w14:textId="540D95D0" w:rsidR="00130D74" w:rsidRPr="003B2200" w:rsidRDefault="00130D74" w:rsidP="003B2200">
      <w:pPr>
        <w:pStyle w:val="Default"/>
        <w:numPr>
          <w:ilvl w:val="0"/>
          <w:numId w:val="34"/>
        </w:numPr>
        <w:tabs>
          <w:tab w:val="left" w:pos="284"/>
          <w:tab w:val="left" w:pos="426"/>
        </w:tabs>
        <w:ind w:left="0" w:firstLine="0"/>
        <w:jc w:val="both"/>
        <w:rPr>
          <w:lang w:val="en-US"/>
        </w:rPr>
      </w:pPr>
      <w:r w:rsidRPr="003B2200">
        <w:rPr>
          <w:lang w:val="en-US"/>
        </w:rPr>
        <w:t xml:space="preserve">The Bank </w:t>
      </w:r>
      <w:r w:rsidR="006B3FA1" w:rsidRPr="003B2200">
        <w:rPr>
          <w:lang w:val="en-US"/>
        </w:rPr>
        <w:t>shall ensure</w:t>
      </w:r>
      <w:r w:rsidRPr="003B2200">
        <w:rPr>
          <w:lang w:val="en-US"/>
        </w:rPr>
        <w:t xml:space="preserve"> a comprehensive approach to disclosing its sustainability performance by providing detailed data on environmental, social, and governance (ESG) aspects. The preparation of the Sustainability Report shall be carried out in alignment with international ESG disclosure standards, including but not limited to:</w:t>
      </w:r>
    </w:p>
    <w:p w14:paraId="41351FCF" w14:textId="1FC0E192" w:rsidR="00130D74" w:rsidRPr="003B2200" w:rsidRDefault="00130D74" w:rsidP="003B2200">
      <w:pPr>
        <w:pStyle w:val="ad"/>
        <w:numPr>
          <w:ilvl w:val="0"/>
          <w:numId w:val="35"/>
        </w:numPr>
        <w:tabs>
          <w:tab w:val="left" w:pos="851"/>
        </w:tabs>
        <w:ind w:left="0" w:firstLine="567"/>
        <w:jc w:val="both"/>
        <w:rPr>
          <w:lang w:val="kk-KZ"/>
        </w:rPr>
      </w:pPr>
      <w:r w:rsidRPr="003B2200">
        <w:rPr>
          <w:lang w:val="kk-KZ"/>
        </w:rPr>
        <w:t>Global Reporting Initiative (GRI) Sustainability Reporting Guidelines;</w:t>
      </w:r>
    </w:p>
    <w:p w14:paraId="2E122017" w14:textId="4CC0006B" w:rsidR="00130D74" w:rsidRPr="003B2200" w:rsidRDefault="00130D74" w:rsidP="003B2200">
      <w:pPr>
        <w:pStyle w:val="ad"/>
        <w:numPr>
          <w:ilvl w:val="0"/>
          <w:numId w:val="35"/>
        </w:numPr>
        <w:tabs>
          <w:tab w:val="left" w:pos="851"/>
        </w:tabs>
        <w:ind w:left="0" w:firstLine="567"/>
        <w:jc w:val="both"/>
        <w:rPr>
          <w:lang w:val="kk-KZ"/>
        </w:rPr>
      </w:pPr>
      <w:r w:rsidRPr="003B2200">
        <w:rPr>
          <w:lang w:val="kk-KZ"/>
        </w:rPr>
        <w:t>Sustainability Accounting Standards Board (SASB) Reporting Standards for Commercial Banks and IT Companies;</w:t>
      </w:r>
    </w:p>
    <w:p w14:paraId="0865EEAC" w14:textId="7CDCDC43" w:rsidR="00130D74" w:rsidRPr="003B2200" w:rsidRDefault="00130D74" w:rsidP="003B2200">
      <w:pPr>
        <w:pStyle w:val="ad"/>
        <w:numPr>
          <w:ilvl w:val="0"/>
          <w:numId w:val="35"/>
        </w:numPr>
        <w:tabs>
          <w:tab w:val="left" w:pos="851"/>
        </w:tabs>
        <w:ind w:left="0" w:firstLine="567"/>
        <w:jc w:val="both"/>
        <w:rPr>
          <w:lang w:val="kk-KZ"/>
        </w:rPr>
      </w:pPr>
      <w:r w:rsidRPr="003B2200">
        <w:rPr>
          <w:lang w:val="kk-KZ"/>
        </w:rPr>
        <w:t>Recommendations of the Task Force on Climate-related Financial Disclosures (TCFD) under the Financial Stability Board;</w:t>
      </w:r>
    </w:p>
    <w:p w14:paraId="4981E791" w14:textId="7798458C" w:rsidR="00130D74" w:rsidRPr="003B2200" w:rsidRDefault="00130D74" w:rsidP="003B2200">
      <w:pPr>
        <w:pStyle w:val="ad"/>
        <w:numPr>
          <w:ilvl w:val="0"/>
          <w:numId w:val="35"/>
        </w:numPr>
        <w:tabs>
          <w:tab w:val="left" w:pos="851"/>
        </w:tabs>
        <w:ind w:left="0" w:firstLine="567"/>
        <w:jc w:val="both"/>
        <w:rPr>
          <w:lang w:val="kk-KZ"/>
        </w:rPr>
      </w:pPr>
      <w:r w:rsidRPr="003B2200">
        <w:rPr>
          <w:lang w:val="kk-KZ"/>
        </w:rPr>
        <w:t>International Financial Reporting Standards IFRS S1/S2.</w:t>
      </w:r>
    </w:p>
    <w:p w14:paraId="617B7F28" w14:textId="1F25F70C" w:rsidR="00B25168" w:rsidRPr="003B2200" w:rsidRDefault="00130D74" w:rsidP="003B2200">
      <w:pPr>
        <w:pStyle w:val="Default"/>
        <w:numPr>
          <w:ilvl w:val="0"/>
          <w:numId w:val="34"/>
        </w:numPr>
        <w:tabs>
          <w:tab w:val="left" w:pos="284"/>
          <w:tab w:val="left" w:pos="426"/>
        </w:tabs>
        <w:ind w:left="0" w:firstLine="0"/>
        <w:jc w:val="both"/>
        <w:rPr>
          <w:lang w:val="en-US"/>
        </w:rPr>
      </w:pPr>
      <w:r w:rsidRPr="00BC39EB">
        <w:rPr>
          <w:lang w:val="en-US"/>
        </w:rPr>
        <w:t xml:space="preserve">In September 2024, the Bank received a score of 61 out of </w:t>
      </w:r>
      <w:r>
        <w:rPr>
          <w:lang w:val="en-US"/>
        </w:rPr>
        <w:t xml:space="preserve">possible </w:t>
      </w:r>
      <w:r w:rsidRPr="00BC39EB">
        <w:rPr>
          <w:lang w:val="en-US"/>
        </w:rPr>
        <w:t xml:space="preserve">100 in the S&amp;P Global Corporate Sustainability Assessment (S&amp;P Global CSA), marking the highest score among second-tier banks in the Republic of Kazakhstan. The Bank </w:t>
      </w:r>
      <w:r>
        <w:rPr>
          <w:lang w:val="en-US"/>
        </w:rPr>
        <w:t>shall</w:t>
      </w:r>
      <w:r w:rsidRPr="00BC39EB">
        <w:rPr>
          <w:lang w:val="en-US"/>
        </w:rPr>
        <w:t xml:space="preserve"> </w:t>
      </w:r>
      <w:r>
        <w:rPr>
          <w:lang w:val="en-US"/>
        </w:rPr>
        <w:t>intend</w:t>
      </w:r>
      <w:r w:rsidRPr="00BC39EB">
        <w:rPr>
          <w:lang w:val="en-US"/>
        </w:rPr>
        <w:t xml:space="preserve"> to maintain and</w:t>
      </w:r>
      <w:r>
        <w:rPr>
          <w:lang w:val="en-US"/>
        </w:rPr>
        <w:t xml:space="preserve"> further</w:t>
      </w:r>
      <w:r w:rsidRPr="00BC39EB">
        <w:rPr>
          <w:lang w:val="en-US"/>
        </w:rPr>
        <w:t xml:space="preserve"> improve </w:t>
      </w:r>
      <w:r>
        <w:rPr>
          <w:lang w:val="en-US"/>
        </w:rPr>
        <w:t>its</w:t>
      </w:r>
      <w:r w:rsidRPr="00BC39EB">
        <w:rPr>
          <w:lang w:val="en-US"/>
        </w:rPr>
        <w:t xml:space="preserve"> ESG rating by effectively implementing the strategic objectives of its Sustainability Policy</w:t>
      </w:r>
      <w:r w:rsidR="00723021" w:rsidRPr="003B2200">
        <w:rPr>
          <w:lang w:val="en-US"/>
        </w:rPr>
        <w:t>.</w:t>
      </w:r>
    </w:p>
    <w:p w14:paraId="1A179A0A" w14:textId="0E83543D" w:rsidR="00EC3DEA" w:rsidRPr="003B2200" w:rsidRDefault="00130D74" w:rsidP="003B2200">
      <w:pPr>
        <w:pStyle w:val="1"/>
        <w:rPr>
          <w:color w:val="auto"/>
        </w:rPr>
      </w:pPr>
      <w:bookmarkStart w:id="14" w:name="_Toc203989738"/>
      <w:r w:rsidRPr="00EC3DEA">
        <w:rPr>
          <w:color w:val="auto"/>
          <w:lang w:val="en-US"/>
        </w:rPr>
        <w:t>Chapter 4. Use of Proceeds</w:t>
      </w:r>
      <w:bookmarkEnd w:id="14"/>
    </w:p>
    <w:p w14:paraId="32B535A2" w14:textId="47656FCD" w:rsidR="00EC3DEA" w:rsidRPr="00093B03" w:rsidRDefault="00EC3DEA" w:rsidP="003B2200">
      <w:pPr>
        <w:pStyle w:val="Default"/>
        <w:numPr>
          <w:ilvl w:val="0"/>
          <w:numId w:val="34"/>
        </w:numPr>
        <w:tabs>
          <w:tab w:val="left" w:pos="284"/>
          <w:tab w:val="left" w:pos="426"/>
        </w:tabs>
        <w:ind w:left="0" w:firstLine="0"/>
        <w:jc w:val="both"/>
        <w:rPr>
          <w:lang w:val="en-US"/>
        </w:rPr>
      </w:pPr>
      <w:r w:rsidRPr="00093B03">
        <w:rPr>
          <w:lang w:val="en-US"/>
        </w:rPr>
        <w:t xml:space="preserve">All proceeds from the issuance of </w:t>
      </w:r>
      <w:r>
        <w:rPr>
          <w:lang w:val="en-US"/>
        </w:rPr>
        <w:t>“</w:t>
      </w:r>
      <w:r w:rsidRPr="00093B03">
        <w:rPr>
          <w:lang w:val="en-US"/>
        </w:rPr>
        <w:t>green</w:t>
      </w:r>
      <w:r>
        <w:rPr>
          <w:lang w:val="en-US"/>
        </w:rPr>
        <w:t>”</w:t>
      </w:r>
      <w:r w:rsidRPr="00093B03">
        <w:rPr>
          <w:lang w:val="en-US"/>
        </w:rPr>
        <w:t xml:space="preserve"> bonds shall be exclusively allocated to the financing or refinancing (in whole or in part) of eligible </w:t>
      </w:r>
      <w:r>
        <w:rPr>
          <w:lang w:val="en-US"/>
        </w:rPr>
        <w:t>“</w:t>
      </w:r>
      <w:r w:rsidRPr="00093B03">
        <w:rPr>
          <w:lang w:val="en-US"/>
        </w:rPr>
        <w:t>green</w:t>
      </w:r>
      <w:r>
        <w:rPr>
          <w:lang w:val="en-US"/>
        </w:rPr>
        <w:t>”</w:t>
      </w:r>
      <w:r w:rsidRPr="00093B03">
        <w:rPr>
          <w:lang w:val="en-US"/>
        </w:rPr>
        <w:t xml:space="preserve"> projects of </w:t>
      </w:r>
      <w:r w:rsidRPr="002A54AC">
        <w:rPr>
          <w:lang w:val="en-US"/>
        </w:rPr>
        <w:t>large corporate business customer</w:t>
      </w:r>
      <w:r>
        <w:rPr>
          <w:lang w:val="en-US"/>
        </w:rPr>
        <w:t>s</w:t>
      </w:r>
      <w:r w:rsidRPr="00093B03">
        <w:rPr>
          <w:lang w:val="en-US"/>
        </w:rPr>
        <w:t xml:space="preserve">. In the case of refinancing (full or partial), the Bank </w:t>
      </w:r>
      <w:r>
        <w:rPr>
          <w:lang w:val="en-US"/>
        </w:rPr>
        <w:t>shall give</w:t>
      </w:r>
      <w:r w:rsidRPr="00093B03">
        <w:rPr>
          <w:lang w:val="en-US"/>
        </w:rPr>
        <w:t xml:space="preserve"> preference to eligible green projects that were initially financed no more than three years prior to the refinancing.</w:t>
      </w:r>
    </w:p>
    <w:p w14:paraId="617B7F2B" w14:textId="58D8B077" w:rsidR="00B25168" w:rsidRPr="003B2200" w:rsidRDefault="00EC3DEA" w:rsidP="003B2200">
      <w:pPr>
        <w:pStyle w:val="Default"/>
        <w:numPr>
          <w:ilvl w:val="0"/>
          <w:numId w:val="34"/>
        </w:numPr>
        <w:tabs>
          <w:tab w:val="left" w:pos="284"/>
          <w:tab w:val="left" w:pos="426"/>
        </w:tabs>
        <w:ind w:left="0" w:firstLine="0"/>
        <w:jc w:val="both"/>
        <w:rPr>
          <w:lang w:val="en-US"/>
        </w:rPr>
      </w:pPr>
      <w:r w:rsidRPr="00093B03">
        <w:rPr>
          <w:lang w:val="en-US"/>
        </w:rPr>
        <w:t xml:space="preserve">The proceeds from </w:t>
      </w:r>
      <w:r>
        <w:rPr>
          <w:lang w:val="en-US"/>
        </w:rPr>
        <w:t>“</w:t>
      </w:r>
      <w:r w:rsidRPr="00093B03">
        <w:rPr>
          <w:lang w:val="en-US"/>
        </w:rPr>
        <w:t>green</w:t>
      </w:r>
      <w:r>
        <w:rPr>
          <w:lang w:val="en-US"/>
        </w:rPr>
        <w:t>”</w:t>
      </w:r>
      <w:r w:rsidRPr="00093B03">
        <w:rPr>
          <w:lang w:val="en-US"/>
        </w:rPr>
        <w:t xml:space="preserve"> bond issuance shall be used to finance or refinance projects in the following categories: renewable energy, energy efficiency, pollution prevention and control, environmentally sustainable management of natural resources and land use, conservation of terrestrial and aquatic biodiversity, clean transportation, sustainable water and wastewater management, climate change adaptation, green buildings, environmentally friendly products, production technologies and processes align</w:t>
      </w:r>
      <w:r>
        <w:rPr>
          <w:lang w:val="en-US"/>
        </w:rPr>
        <w:t xml:space="preserve">ed with the circular economy ( </w:t>
      </w:r>
      <w:r w:rsidRPr="00093B03">
        <w:rPr>
          <w:lang w:val="en-US"/>
        </w:rPr>
        <w:t xml:space="preserve">eligible </w:t>
      </w:r>
      <w:r>
        <w:rPr>
          <w:lang w:val="en-US"/>
        </w:rPr>
        <w:t>“</w:t>
      </w:r>
      <w:r w:rsidRPr="00093B03">
        <w:rPr>
          <w:lang w:val="en-US"/>
        </w:rPr>
        <w:t>green</w:t>
      </w:r>
      <w:r>
        <w:rPr>
          <w:lang w:val="en-US"/>
        </w:rPr>
        <w:t>” projects</w:t>
      </w:r>
      <w:r w:rsidRPr="00093B03">
        <w:rPr>
          <w:lang w:val="en-US"/>
        </w:rPr>
        <w:t xml:space="preserve">), in accordance with the descriptions and criteria outlined in </w:t>
      </w:r>
      <w:r w:rsidRPr="003B2200">
        <w:rPr>
          <w:lang w:val="en-US"/>
        </w:rPr>
        <w:t>Table 1</w:t>
      </w:r>
      <w:r w:rsidR="00723021" w:rsidRPr="003B2200">
        <w:rPr>
          <w:lang w:val="en-US"/>
        </w:rPr>
        <w:t>.</w:t>
      </w:r>
    </w:p>
    <w:p w14:paraId="617B7F2C" w14:textId="54AB353E" w:rsidR="00B25168" w:rsidRDefault="00EC3DEA">
      <w:pPr>
        <w:pStyle w:val="ad"/>
        <w:ind w:left="567"/>
        <w:jc w:val="right"/>
        <w:rPr>
          <w:rFonts w:eastAsiaTheme="majorEastAsia"/>
          <w:i/>
          <w:iCs/>
        </w:rPr>
      </w:pPr>
      <w:r w:rsidRPr="00EC3DEA">
        <w:rPr>
          <w:rFonts w:eastAsiaTheme="majorEastAsia"/>
          <w:i/>
          <w:iCs/>
        </w:rPr>
        <w:t>Table 1. Eligible “green” projects</w:t>
      </w:r>
    </w:p>
    <w:tbl>
      <w:tblPr>
        <w:tblW w:w="10485" w:type="dxa"/>
        <w:tblLayout w:type="fixed"/>
        <w:tblLook w:val="04A0" w:firstRow="1" w:lastRow="0" w:firstColumn="1" w:lastColumn="0" w:noHBand="0" w:noVBand="1"/>
      </w:tblPr>
      <w:tblGrid>
        <w:gridCol w:w="2262"/>
        <w:gridCol w:w="8223"/>
      </w:tblGrid>
      <w:tr w:rsidR="00B25168" w14:paraId="617B7F2F" w14:textId="77777777" w:rsidTr="006F6ADB">
        <w:trPr>
          <w:trHeight w:val="960"/>
        </w:trPr>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B7F2D" w14:textId="286DE85D" w:rsidR="00B25168" w:rsidRDefault="001B7EA4" w:rsidP="001B7EA4">
            <w:pPr>
              <w:jc w:val="center"/>
              <w:rPr>
                <w:color w:val="000000"/>
                <w:sz w:val="18"/>
                <w:szCs w:val="18"/>
              </w:rPr>
            </w:pPr>
            <w:r>
              <w:rPr>
                <w:color w:val="000000"/>
                <w:sz w:val="18"/>
                <w:szCs w:val="18"/>
                <w:lang w:val="en-US"/>
              </w:rPr>
              <w:t xml:space="preserve">“Green” Project Categories </w:t>
            </w:r>
          </w:p>
        </w:tc>
        <w:tc>
          <w:tcPr>
            <w:tcW w:w="82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B7F2E" w14:textId="7799BE15" w:rsidR="00B25168" w:rsidRDefault="001B7EA4">
            <w:pPr>
              <w:jc w:val="center"/>
              <w:rPr>
                <w:sz w:val="18"/>
                <w:szCs w:val="18"/>
              </w:rPr>
            </w:pPr>
            <w:r w:rsidRPr="001B7EA4">
              <w:rPr>
                <w:sz w:val="18"/>
                <w:szCs w:val="18"/>
              </w:rPr>
              <w:t>Description and Eligibility Criteria</w:t>
            </w:r>
          </w:p>
        </w:tc>
      </w:tr>
      <w:tr w:rsidR="00B25168" w:rsidRPr="00645D1F" w14:paraId="617B7F3B" w14:textId="77777777" w:rsidTr="006F6ADB">
        <w:trPr>
          <w:trHeight w:val="1785"/>
        </w:trPr>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617B7F31" w14:textId="2BF32D9C" w:rsidR="00B25168" w:rsidRDefault="001B7EA4">
            <w:pPr>
              <w:rPr>
                <w:color w:val="000000"/>
                <w:sz w:val="20"/>
                <w:szCs w:val="20"/>
              </w:rPr>
            </w:pPr>
            <w:r>
              <w:rPr>
                <w:color w:val="000000"/>
                <w:sz w:val="20"/>
                <w:szCs w:val="20"/>
                <w:lang w:val="en-US"/>
              </w:rPr>
              <w:t>R</w:t>
            </w:r>
            <w:r w:rsidR="00CA350F">
              <w:rPr>
                <w:color w:val="000000"/>
                <w:sz w:val="20"/>
                <w:szCs w:val="20"/>
              </w:rPr>
              <w:t xml:space="preserve">enewable </w:t>
            </w:r>
            <w:r w:rsidR="00CA350F">
              <w:rPr>
                <w:color w:val="000000"/>
                <w:sz w:val="20"/>
                <w:szCs w:val="20"/>
                <w:lang w:val="en-US"/>
              </w:rPr>
              <w:t>E</w:t>
            </w:r>
            <w:r w:rsidRPr="001B7EA4">
              <w:rPr>
                <w:color w:val="000000"/>
                <w:sz w:val="20"/>
                <w:szCs w:val="20"/>
              </w:rPr>
              <w:t>nergy</w:t>
            </w:r>
          </w:p>
          <w:p w14:paraId="3C2EDC9C" w14:textId="77777777" w:rsidR="001B7EA4" w:rsidRDefault="001B7EA4">
            <w:pPr>
              <w:rPr>
                <w:color w:val="000000"/>
                <w:sz w:val="20"/>
                <w:szCs w:val="20"/>
              </w:rPr>
            </w:pPr>
          </w:p>
          <w:p w14:paraId="617B7F32" w14:textId="77777777" w:rsidR="00B25168" w:rsidRDefault="00723021">
            <w:pPr>
              <w:rPr>
                <w:color w:val="000000"/>
                <w:sz w:val="20"/>
                <w:szCs w:val="20"/>
              </w:rPr>
            </w:pPr>
            <w:r>
              <w:rPr>
                <w:noProof/>
              </w:rPr>
              <w:drawing>
                <wp:inline distT="0" distB="0" distL="0" distR="0" wp14:anchorId="617B7FF8" wp14:editId="617B7FF9">
                  <wp:extent cx="360045" cy="360045"/>
                  <wp:effectExtent l="0" t="0" r="0" b="0"/>
                  <wp:docPr id="1" name="Рисунок 1" descr="Изображение выглядит как текст, снимок экрана,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 снимок экрана, логотип, Шрифт&#10;&#10;Контент, сгенерированный ИИ, может содержать ошибки."/>
                          <pic:cNvPicPr>
                            <a:picLocks noChangeAspect="1" noChangeArrowheads="1"/>
                          </pic:cNvPicPr>
                        </pic:nvPicPr>
                        <pic:blipFill>
                          <a:blip r:embed="rId8"/>
                          <a:srcRect l="692" t="39705" r="87927" b="39374"/>
                          <a:stretch>
                            <a:fillRect/>
                          </a:stretch>
                        </pic:blipFill>
                        <pic:spPr bwMode="auto">
                          <a:xfrm>
                            <a:off x="0" y="0"/>
                            <a:ext cx="360045" cy="360045"/>
                          </a:xfrm>
                          <a:prstGeom prst="rect">
                            <a:avLst/>
                          </a:prstGeom>
                          <a:noFill/>
                        </pic:spPr>
                      </pic:pic>
                    </a:graphicData>
                  </a:graphic>
                </wp:inline>
              </w:drawing>
            </w:r>
            <w:r>
              <w:rPr>
                <w:color w:val="000000"/>
                <w:sz w:val="20"/>
                <w:szCs w:val="20"/>
              </w:rPr>
              <w:t xml:space="preserve"> </w:t>
            </w:r>
            <w:r>
              <w:rPr>
                <w:noProof/>
              </w:rPr>
              <w:drawing>
                <wp:inline distT="0" distB="0" distL="0" distR="0" wp14:anchorId="617B7FFA" wp14:editId="617B7FFB">
                  <wp:extent cx="372110" cy="360045"/>
                  <wp:effectExtent l="0" t="0" r="0" b="0"/>
                  <wp:docPr id="2" name="Изображение2" descr="Изображение выглядит как текст, снимок экрана,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descr="Изображение выглядит как текст, снимок экрана, логотип, Шрифт&#10;&#10;Контент, сгенерированный ИИ, может содержать ошибки."/>
                          <pic:cNvPicPr>
                            <a:picLocks noChangeAspect="1" noChangeArrowheads="1"/>
                          </pic:cNvPicPr>
                        </pic:nvPicPr>
                        <pic:blipFill>
                          <a:blip r:embed="rId8"/>
                          <a:srcRect l="34674" t="39672" r="53564" b="38894"/>
                          <a:stretch>
                            <a:fillRect/>
                          </a:stretch>
                        </pic:blipFill>
                        <pic:spPr bwMode="auto">
                          <a:xfrm>
                            <a:off x="0" y="0"/>
                            <a:ext cx="372110" cy="360045"/>
                          </a:xfrm>
                          <a:prstGeom prst="rect">
                            <a:avLst/>
                          </a:prstGeom>
                          <a:noFill/>
                        </pic:spPr>
                      </pic:pic>
                    </a:graphicData>
                  </a:graphic>
                </wp:inline>
              </w:drawing>
            </w:r>
            <w:r>
              <w:rPr>
                <w:color w:val="000000"/>
                <w:sz w:val="20"/>
                <w:szCs w:val="20"/>
              </w:rPr>
              <w:t xml:space="preserve"> </w:t>
            </w:r>
            <w:r>
              <w:rPr>
                <w:noProof/>
              </w:rPr>
              <w:drawing>
                <wp:inline distT="0" distB="0" distL="0" distR="0" wp14:anchorId="617B7FFC" wp14:editId="617B7FFD">
                  <wp:extent cx="335280" cy="360045"/>
                  <wp:effectExtent l="0" t="0" r="0" b="0"/>
                  <wp:docPr id="3" name="Изображение3" descr="Изображение выглядит как текст, снимок экрана,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3" descr="Изображение выглядит как текст, снимок экрана, логотип, Шрифт&#10;&#10;Контент, сгенерированный ИИ, может содержать ошибки."/>
                          <pic:cNvPicPr>
                            <a:picLocks noChangeAspect="1" noChangeArrowheads="1"/>
                          </pic:cNvPicPr>
                        </pic:nvPicPr>
                        <pic:blipFill>
                          <a:blip r:embed="rId8"/>
                          <a:srcRect l="1035" t="76437" r="88358" b="2141"/>
                          <a:stretch>
                            <a:fillRect/>
                          </a:stretch>
                        </pic:blipFill>
                        <pic:spPr bwMode="auto">
                          <a:xfrm>
                            <a:off x="0" y="0"/>
                            <a:ext cx="335280" cy="360045"/>
                          </a:xfrm>
                          <a:prstGeom prst="rect">
                            <a:avLst/>
                          </a:prstGeom>
                          <a:noFill/>
                        </pic:spPr>
                      </pic:pic>
                    </a:graphicData>
                  </a:graphic>
                </wp:inline>
              </w:drawing>
            </w:r>
          </w:p>
          <w:p w14:paraId="617B7F33" w14:textId="77777777" w:rsidR="00B25168" w:rsidRDefault="00B25168">
            <w:pPr>
              <w:rPr>
                <w:color w:val="000000"/>
                <w:sz w:val="20"/>
                <w:szCs w:val="20"/>
              </w:rPr>
            </w:pPr>
          </w:p>
          <w:p w14:paraId="617B7F34" w14:textId="77777777" w:rsidR="00B25168" w:rsidRDefault="00B25168">
            <w:pPr>
              <w:rPr>
                <w:color w:val="000000"/>
                <w:sz w:val="20"/>
                <w:szCs w:val="20"/>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14:paraId="66E843CE" w14:textId="77777777" w:rsidR="00EC3DEA" w:rsidRPr="0011302F" w:rsidRDefault="00EC3DEA" w:rsidP="00EC3DEA">
            <w:pPr>
              <w:rPr>
                <w:sz w:val="20"/>
                <w:szCs w:val="20"/>
                <w:lang w:val="en-US"/>
              </w:rPr>
            </w:pPr>
            <w:r w:rsidRPr="0011302F">
              <w:rPr>
                <w:sz w:val="20"/>
                <w:szCs w:val="20"/>
                <w:lang w:val="en-US"/>
              </w:rPr>
              <w:t>Investments in the construction, development, acquisition, maintenance, and operation of renewable energy sources, including:</w:t>
            </w:r>
          </w:p>
          <w:p w14:paraId="777E34B0" w14:textId="77777777" w:rsidR="00EC3DEA" w:rsidRPr="0011302F" w:rsidRDefault="00EC3DEA" w:rsidP="00EC3DEA">
            <w:pPr>
              <w:pStyle w:val="ad"/>
              <w:numPr>
                <w:ilvl w:val="0"/>
                <w:numId w:val="3"/>
              </w:numPr>
              <w:rPr>
                <w:sz w:val="20"/>
                <w:szCs w:val="20"/>
                <w:lang w:val="en-US"/>
              </w:rPr>
            </w:pPr>
            <w:r w:rsidRPr="0011302F">
              <w:rPr>
                <w:sz w:val="20"/>
                <w:szCs w:val="20"/>
                <w:lang w:val="en-US"/>
              </w:rPr>
              <w:t>Wind and solar energy, provided that the share of electricity from non-renewable sources at the facility does not exceed 15%</w:t>
            </w:r>
          </w:p>
          <w:p w14:paraId="3FB831A2" w14:textId="77777777" w:rsidR="00EC3DEA" w:rsidRPr="0011302F" w:rsidRDefault="00EC3DEA" w:rsidP="00EC3DEA">
            <w:pPr>
              <w:pStyle w:val="ad"/>
              <w:numPr>
                <w:ilvl w:val="0"/>
                <w:numId w:val="3"/>
              </w:numPr>
              <w:rPr>
                <w:sz w:val="20"/>
                <w:szCs w:val="20"/>
                <w:lang w:val="en-US"/>
              </w:rPr>
            </w:pPr>
            <w:r w:rsidRPr="0011302F">
              <w:rPr>
                <w:sz w:val="20"/>
                <w:szCs w:val="20"/>
                <w:lang w:val="en-US"/>
              </w:rPr>
              <w:t>Geothermal energy: generation facilities (for electricity and heat supply) with direct emissions below 100 gCO₂/kWh (in cases where electric heat pumps are used, the global warming potential of the refrigerant must not exceed 700).</w:t>
            </w:r>
          </w:p>
          <w:p w14:paraId="1854EAB2" w14:textId="77777777" w:rsidR="00EC3DEA" w:rsidRPr="0011302F" w:rsidRDefault="00EC3DEA" w:rsidP="00EC3DEA">
            <w:pPr>
              <w:pStyle w:val="ad"/>
              <w:numPr>
                <w:ilvl w:val="0"/>
                <w:numId w:val="3"/>
              </w:numPr>
              <w:rPr>
                <w:sz w:val="20"/>
                <w:szCs w:val="20"/>
                <w:lang w:val="en-US"/>
              </w:rPr>
            </w:pPr>
            <w:r w:rsidRPr="0011302F">
              <w:rPr>
                <w:sz w:val="20"/>
                <w:szCs w:val="20"/>
                <w:lang w:val="en-US"/>
              </w:rPr>
              <w:t xml:space="preserve">Hydropower: facilities with a power density (the ratio of the facility’s rated capacity to the surface area of the reservoir) &gt;  10 W/m², or lifecycle direct emissions below the following thresholds: 100 gCO₂e/kWh for facilities commissioned prior to 2020; 50 gCO₂e/kWh for facilities commissioned from 2020 onward. </w:t>
            </w:r>
          </w:p>
          <w:p w14:paraId="0CBC7626" w14:textId="77777777" w:rsidR="00EC3DEA" w:rsidRPr="0011302F" w:rsidRDefault="00EC3DEA" w:rsidP="00EC3DEA">
            <w:pPr>
              <w:pStyle w:val="ad"/>
              <w:numPr>
                <w:ilvl w:val="0"/>
                <w:numId w:val="3"/>
              </w:numPr>
              <w:rPr>
                <w:sz w:val="20"/>
                <w:szCs w:val="20"/>
                <w:lang w:val="en-US"/>
              </w:rPr>
            </w:pPr>
            <w:r w:rsidRPr="0011302F">
              <w:rPr>
                <w:sz w:val="20"/>
                <w:szCs w:val="20"/>
                <w:lang w:val="en-US"/>
              </w:rPr>
              <w:t>Bioenergy. Bioenergy. For energy produced from residual biomass, lifecycle GHG emissions must be at least 80% lower than the coal baseline (i.e. emissions from coal-fired power generation or a comparable internationally recognized fossil fuel benchmark). Biofuels must be derived from feedstocks produced using environmentally sustainable practices, in accordance with internationally or nationally recognized standards or certification schemes for biofuels/ biofeedstock, such as ISCC PLUS, RSB Food Security Assessment Guidelines, Forest Stewardship Council (FSC), Sustainable Agriculture Standard (SAS), etc.</w:t>
            </w:r>
          </w:p>
          <w:p w14:paraId="617B7F3A" w14:textId="5AF5085A" w:rsidR="00B25168" w:rsidRPr="00EC3DEA" w:rsidRDefault="00EC3DEA" w:rsidP="00EC3DEA">
            <w:pPr>
              <w:pStyle w:val="ad"/>
              <w:numPr>
                <w:ilvl w:val="0"/>
                <w:numId w:val="3"/>
              </w:numPr>
              <w:rPr>
                <w:sz w:val="20"/>
                <w:szCs w:val="20"/>
                <w:lang w:val="en-US"/>
              </w:rPr>
            </w:pPr>
            <w:r w:rsidRPr="0011302F">
              <w:rPr>
                <w:sz w:val="20"/>
                <w:szCs w:val="20"/>
                <w:lang w:val="en-US"/>
              </w:rPr>
              <w:t>Infrastructure for the transmission and distribution of energy from renewable sources, involving the connection of renewable energy generation facilities that fall below the low-carbon threshold (100 gCO₂e/kWh)</w:t>
            </w:r>
            <w:r>
              <w:rPr>
                <w:sz w:val="20"/>
                <w:szCs w:val="20"/>
                <w:lang w:val="en-US"/>
              </w:rPr>
              <w:t>.</w:t>
            </w:r>
          </w:p>
        </w:tc>
      </w:tr>
      <w:tr w:rsidR="00B25168" w:rsidRPr="00645D1F" w14:paraId="617B7F42" w14:textId="77777777" w:rsidTr="006F6ADB">
        <w:trPr>
          <w:trHeight w:val="2278"/>
        </w:trPr>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617B7F3D" w14:textId="235AD18B" w:rsidR="00B25168" w:rsidRDefault="0079717D">
            <w:pPr>
              <w:rPr>
                <w:sz w:val="20"/>
                <w:szCs w:val="20"/>
              </w:rPr>
            </w:pPr>
            <w:r w:rsidRPr="0079717D">
              <w:rPr>
                <w:sz w:val="20"/>
                <w:szCs w:val="20"/>
              </w:rPr>
              <w:lastRenderedPageBreak/>
              <w:t>Energy Efficiency</w:t>
            </w:r>
          </w:p>
          <w:p w14:paraId="2030C302" w14:textId="77777777" w:rsidR="0079717D" w:rsidRDefault="0079717D">
            <w:pPr>
              <w:rPr>
                <w:color w:val="0070C0"/>
                <w:sz w:val="20"/>
                <w:szCs w:val="20"/>
              </w:rPr>
            </w:pPr>
          </w:p>
          <w:p w14:paraId="617B7F3E" w14:textId="77777777" w:rsidR="00B25168" w:rsidRDefault="00723021">
            <w:pPr>
              <w:rPr>
                <w:color w:val="0070C0"/>
                <w:sz w:val="20"/>
                <w:szCs w:val="20"/>
              </w:rPr>
            </w:pPr>
            <w:r>
              <w:rPr>
                <w:noProof/>
              </w:rPr>
              <w:drawing>
                <wp:inline distT="0" distB="0" distL="0" distR="0" wp14:anchorId="617B7FFE" wp14:editId="617B7FFF">
                  <wp:extent cx="372110" cy="360045"/>
                  <wp:effectExtent l="0" t="0" r="0" b="0"/>
                  <wp:docPr id="4" name="Изображение4" descr="Изображение выглядит как текст, снимок экрана,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4" descr="Изображение выглядит как текст, снимок экрана, логотип, Шрифт&#10;&#10;Контент, сгенерированный ИИ, может содержать ошибки."/>
                          <pic:cNvPicPr>
                            <a:picLocks noChangeAspect="1" noChangeArrowheads="1"/>
                          </pic:cNvPicPr>
                        </pic:nvPicPr>
                        <pic:blipFill>
                          <a:blip r:embed="rId8"/>
                          <a:srcRect l="34674" t="39672" r="53564" b="38894"/>
                          <a:stretch>
                            <a:fillRect/>
                          </a:stretch>
                        </pic:blipFill>
                        <pic:spPr bwMode="auto">
                          <a:xfrm>
                            <a:off x="0" y="0"/>
                            <a:ext cx="372110" cy="360045"/>
                          </a:xfrm>
                          <a:prstGeom prst="rect">
                            <a:avLst/>
                          </a:prstGeom>
                          <a:noFill/>
                        </pic:spPr>
                      </pic:pic>
                    </a:graphicData>
                  </a:graphic>
                </wp:inline>
              </w:drawing>
            </w:r>
            <w:r>
              <w:rPr>
                <w:color w:val="0070C0"/>
                <w:sz w:val="20"/>
                <w:szCs w:val="20"/>
              </w:rPr>
              <w:t xml:space="preserve"> </w:t>
            </w:r>
            <w:r>
              <w:rPr>
                <w:noProof/>
              </w:rPr>
              <w:drawing>
                <wp:inline distT="0" distB="0" distL="0" distR="0" wp14:anchorId="617B8000" wp14:editId="617B8001">
                  <wp:extent cx="335280" cy="360045"/>
                  <wp:effectExtent l="0" t="0" r="0" b="0"/>
                  <wp:docPr id="5" name="Изображение5" descr="Изображение выглядит как текст, снимок экрана,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5" descr="Изображение выглядит как текст, снимок экрана, логотип, Шрифт&#10;&#10;Контент, сгенерированный ИИ, может содержать ошибки."/>
                          <pic:cNvPicPr>
                            <a:picLocks noChangeAspect="1" noChangeArrowheads="1"/>
                          </pic:cNvPicPr>
                        </pic:nvPicPr>
                        <pic:blipFill>
                          <a:blip r:embed="rId8"/>
                          <a:srcRect l="1035" t="76437" r="88358" b="2141"/>
                          <a:stretch>
                            <a:fillRect/>
                          </a:stretch>
                        </pic:blipFill>
                        <pic:spPr bwMode="auto">
                          <a:xfrm>
                            <a:off x="0" y="0"/>
                            <a:ext cx="335280" cy="360045"/>
                          </a:xfrm>
                          <a:prstGeom prst="rect">
                            <a:avLst/>
                          </a:prstGeom>
                          <a:noFill/>
                        </pic:spPr>
                      </pic:pic>
                    </a:graphicData>
                  </a:graphic>
                </wp:inline>
              </w:drawing>
            </w: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14:paraId="4460412C" w14:textId="77777777" w:rsidR="00EC3DEA" w:rsidRPr="0011302F" w:rsidRDefault="00EC3DEA" w:rsidP="00EC3DEA">
            <w:pPr>
              <w:rPr>
                <w:sz w:val="20"/>
                <w:szCs w:val="20"/>
                <w:lang w:val="en-US"/>
              </w:rPr>
            </w:pPr>
            <w:r w:rsidRPr="0011302F">
              <w:rPr>
                <w:sz w:val="20"/>
                <w:szCs w:val="20"/>
                <w:lang w:val="en-US"/>
              </w:rPr>
              <w:t>Investments in energy and resource efficiency, including:</w:t>
            </w:r>
          </w:p>
          <w:p w14:paraId="3BB110B2" w14:textId="77777777" w:rsidR="00EC3DEA" w:rsidRPr="0011302F" w:rsidRDefault="00EC3DEA" w:rsidP="00EC3DEA">
            <w:pPr>
              <w:pStyle w:val="ad"/>
              <w:numPr>
                <w:ilvl w:val="0"/>
                <w:numId w:val="3"/>
              </w:numPr>
              <w:rPr>
                <w:sz w:val="20"/>
                <w:szCs w:val="20"/>
                <w:lang w:val="en-US"/>
              </w:rPr>
            </w:pPr>
            <w:r w:rsidRPr="0011302F">
              <w:rPr>
                <w:sz w:val="20"/>
                <w:szCs w:val="20"/>
                <w:lang w:val="en-US"/>
              </w:rPr>
              <w:t>Improving energy efficiency across various sectors, such as building restoration involving energy-saving upgrades to heating systems, refrigeration units, lighting equipment, etc., with the goal of achieving at least 30% energy savings or a 30% reduction in GHG emissions compared to the baseline.</w:t>
            </w:r>
          </w:p>
          <w:p w14:paraId="617B7F41" w14:textId="12DA6318" w:rsidR="00B25168" w:rsidRPr="00EC3DEA" w:rsidRDefault="00EC3DEA" w:rsidP="00EC3DEA">
            <w:pPr>
              <w:pStyle w:val="ad"/>
              <w:numPr>
                <w:ilvl w:val="0"/>
                <w:numId w:val="3"/>
              </w:numPr>
              <w:rPr>
                <w:sz w:val="20"/>
                <w:szCs w:val="20"/>
                <w:lang w:val="en-US"/>
              </w:rPr>
            </w:pPr>
            <w:r w:rsidRPr="0011302F">
              <w:rPr>
                <w:sz w:val="20"/>
                <w:szCs w:val="20"/>
                <w:lang w:val="en-US"/>
              </w:rPr>
              <w:t>Energy efficiency in power transmission and distribution networks, aiming for a reduction in electricity losses of at least 10% compared to the baseline</w:t>
            </w:r>
            <w:r w:rsidR="00723021" w:rsidRPr="00EC3DEA">
              <w:rPr>
                <w:sz w:val="20"/>
                <w:szCs w:val="20"/>
                <w:lang w:val="en-US"/>
              </w:rPr>
              <w:t>.</w:t>
            </w:r>
          </w:p>
        </w:tc>
      </w:tr>
      <w:tr w:rsidR="00B25168" w:rsidRPr="00645D1F" w14:paraId="617B7F4A" w14:textId="77777777" w:rsidTr="006F6ADB">
        <w:trPr>
          <w:trHeight w:val="1020"/>
        </w:trPr>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617B7F44" w14:textId="0D55BDF9" w:rsidR="00B25168" w:rsidRDefault="001B0667">
            <w:pPr>
              <w:rPr>
                <w:sz w:val="20"/>
                <w:szCs w:val="20"/>
              </w:rPr>
            </w:pPr>
            <w:r>
              <w:rPr>
                <w:sz w:val="20"/>
                <w:szCs w:val="20"/>
              </w:rPr>
              <w:t xml:space="preserve">Pollution </w:t>
            </w:r>
            <w:r>
              <w:rPr>
                <w:sz w:val="20"/>
                <w:szCs w:val="20"/>
                <w:lang w:val="en-US"/>
              </w:rPr>
              <w:t>P</w:t>
            </w:r>
            <w:r>
              <w:rPr>
                <w:sz w:val="20"/>
                <w:szCs w:val="20"/>
              </w:rPr>
              <w:t xml:space="preserve">revention and </w:t>
            </w:r>
            <w:r>
              <w:rPr>
                <w:sz w:val="20"/>
                <w:szCs w:val="20"/>
                <w:lang w:val="en-US"/>
              </w:rPr>
              <w:t>C</w:t>
            </w:r>
            <w:r w:rsidRPr="001B0667">
              <w:rPr>
                <w:sz w:val="20"/>
                <w:szCs w:val="20"/>
              </w:rPr>
              <w:t>ontrol</w:t>
            </w:r>
          </w:p>
          <w:p w14:paraId="7BF62092" w14:textId="77777777" w:rsidR="001B0667" w:rsidRDefault="001B0667">
            <w:pPr>
              <w:rPr>
                <w:sz w:val="20"/>
                <w:szCs w:val="20"/>
              </w:rPr>
            </w:pPr>
          </w:p>
          <w:p w14:paraId="617B7F45" w14:textId="77777777" w:rsidR="00B25168" w:rsidRDefault="00723021">
            <w:pPr>
              <w:rPr>
                <w:sz w:val="20"/>
                <w:szCs w:val="20"/>
              </w:rPr>
            </w:pPr>
            <w:r>
              <w:rPr>
                <w:noProof/>
              </w:rPr>
              <w:drawing>
                <wp:inline distT="0" distB="0" distL="0" distR="0" wp14:anchorId="617B8002" wp14:editId="617B8003">
                  <wp:extent cx="351790" cy="360045"/>
                  <wp:effectExtent l="0" t="0" r="0" b="0"/>
                  <wp:docPr id="6" name="Изображение6" descr="Изображение выглядит как текст, снимок экрана,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6" descr="Изображение выглядит как текст, снимок экрана, логотип, Шрифт&#10;&#10;Контент, сгенерированный ИИ, может содержать ошибки."/>
                          <pic:cNvPicPr>
                            <a:picLocks noChangeAspect="1" noChangeArrowheads="1"/>
                          </pic:cNvPicPr>
                        </pic:nvPicPr>
                        <pic:blipFill>
                          <a:blip r:embed="rId8"/>
                          <a:srcRect l="86153" t="39198" r="2466" b="38894"/>
                          <a:stretch>
                            <a:fillRect/>
                          </a:stretch>
                        </pic:blipFill>
                        <pic:spPr bwMode="auto">
                          <a:xfrm>
                            <a:off x="0" y="0"/>
                            <a:ext cx="351790" cy="360045"/>
                          </a:xfrm>
                          <a:prstGeom prst="rect">
                            <a:avLst/>
                          </a:prstGeom>
                          <a:noFill/>
                        </pic:spPr>
                      </pic:pic>
                    </a:graphicData>
                  </a:graphic>
                </wp:inline>
              </w:drawing>
            </w: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14:paraId="6C1164CA" w14:textId="77777777" w:rsidR="00EC3DEA" w:rsidRPr="0011302F" w:rsidRDefault="00EC3DEA" w:rsidP="00EC3DEA">
            <w:pPr>
              <w:rPr>
                <w:sz w:val="20"/>
                <w:szCs w:val="20"/>
                <w:lang w:val="en-US"/>
              </w:rPr>
            </w:pPr>
            <w:r w:rsidRPr="0011302F">
              <w:rPr>
                <w:sz w:val="20"/>
                <w:szCs w:val="20"/>
                <w:lang w:val="en-US"/>
              </w:rPr>
              <w:t>Investments in technologies and related services aimed at creating a sustainable environment by reducing environmental pollution, including:</w:t>
            </w:r>
          </w:p>
          <w:p w14:paraId="72549011" w14:textId="77777777" w:rsidR="00EC3DEA" w:rsidRPr="0011302F" w:rsidRDefault="00EC3DEA" w:rsidP="00EC3DEA">
            <w:pPr>
              <w:pStyle w:val="ad"/>
              <w:numPr>
                <w:ilvl w:val="0"/>
                <w:numId w:val="3"/>
              </w:numPr>
              <w:rPr>
                <w:sz w:val="20"/>
                <w:szCs w:val="20"/>
                <w:lang w:val="en-US"/>
              </w:rPr>
            </w:pPr>
            <w:r w:rsidRPr="0011302F">
              <w:rPr>
                <w:sz w:val="20"/>
                <w:szCs w:val="20"/>
                <w:lang w:val="en-US"/>
              </w:rPr>
              <w:t>Elimination or significant mitigation of environmental pollution in water, air, and soil through biological, physical, and chemical methods.</w:t>
            </w:r>
          </w:p>
          <w:p w14:paraId="3127D197" w14:textId="77777777" w:rsidR="00EC3DEA" w:rsidRPr="0011302F" w:rsidRDefault="00EC3DEA" w:rsidP="00EC3DEA">
            <w:pPr>
              <w:pStyle w:val="ad"/>
              <w:numPr>
                <w:ilvl w:val="0"/>
                <w:numId w:val="3"/>
              </w:numPr>
              <w:rPr>
                <w:sz w:val="20"/>
                <w:szCs w:val="20"/>
                <w:lang w:val="en-US"/>
              </w:rPr>
            </w:pPr>
            <w:r w:rsidRPr="0011302F">
              <w:rPr>
                <w:sz w:val="20"/>
                <w:szCs w:val="20"/>
                <w:lang w:val="en-US"/>
              </w:rPr>
              <w:t>Prevention of waste generation, waste reduction, waste recycling, and the use of energy-efficient waste-to-energy technologies.</w:t>
            </w:r>
          </w:p>
          <w:p w14:paraId="617B7F49" w14:textId="7C45BB99" w:rsidR="00B25168" w:rsidRPr="00EC3DEA" w:rsidRDefault="00EC3DEA" w:rsidP="00EC3DEA">
            <w:pPr>
              <w:pStyle w:val="ad"/>
              <w:numPr>
                <w:ilvl w:val="0"/>
                <w:numId w:val="3"/>
              </w:numPr>
              <w:rPr>
                <w:sz w:val="20"/>
                <w:szCs w:val="20"/>
                <w:lang w:val="en-US"/>
              </w:rPr>
            </w:pPr>
            <w:r w:rsidRPr="0011302F">
              <w:rPr>
                <w:sz w:val="20"/>
                <w:szCs w:val="20"/>
                <w:lang w:val="en-US"/>
              </w:rPr>
              <w:t>For waste-to-energy projects, plant efficiency</w:t>
            </w:r>
            <w:r w:rsidRPr="002B6D63">
              <w:rPr>
                <w:sz w:val="20"/>
                <w:szCs w:val="20"/>
                <w:lang w:val="en-US"/>
              </w:rPr>
              <w:t xml:space="preserve"> shall exceed 25%, with slag recovery and metal extraction from residual ash </w:t>
            </w:r>
            <w:r>
              <w:rPr>
                <w:sz w:val="20"/>
                <w:szCs w:val="20"/>
                <w:lang w:val="en-US"/>
              </w:rPr>
              <w:t>shall exceed</w:t>
            </w:r>
            <w:r w:rsidRPr="002B6D63">
              <w:rPr>
                <w:sz w:val="20"/>
                <w:szCs w:val="20"/>
                <w:lang w:val="en-US"/>
              </w:rPr>
              <w:t xml:space="preserve"> 90%</w:t>
            </w:r>
            <w:r w:rsidR="00723021" w:rsidRPr="00EC3DEA">
              <w:rPr>
                <w:sz w:val="20"/>
                <w:szCs w:val="20"/>
                <w:lang w:val="en-US"/>
              </w:rPr>
              <w:t>.</w:t>
            </w:r>
          </w:p>
        </w:tc>
      </w:tr>
      <w:tr w:rsidR="00B25168" w:rsidRPr="00645D1F" w14:paraId="617B7F52" w14:textId="77777777" w:rsidTr="006F6ADB">
        <w:trPr>
          <w:trHeight w:val="2448"/>
        </w:trPr>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5155B91E" w14:textId="77777777" w:rsidR="00CA350F" w:rsidRPr="00EC3DEA" w:rsidRDefault="00CA350F">
            <w:pPr>
              <w:rPr>
                <w:sz w:val="20"/>
                <w:szCs w:val="20"/>
                <w:lang w:val="en-US"/>
              </w:rPr>
            </w:pPr>
          </w:p>
          <w:p w14:paraId="60ABA184" w14:textId="13000219" w:rsidR="00CA350F" w:rsidRPr="00CA350F" w:rsidRDefault="00CA350F">
            <w:pPr>
              <w:rPr>
                <w:sz w:val="20"/>
                <w:szCs w:val="20"/>
                <w:lang w:val="en-US"/>
              </w:rPr>
            </w:pPr>
            <w:r w:rsidRPr="00CA350F">
              <w:rPr>
                <w:sz w:val="20"/>
                <w:szCs w:val="20"/>
                <w:lang w:val="en-US"/>
              </w:rPr>
              <w:t xml:space="preserve">Environmentally Sustainable Management </w:t>
            </w:r>
            <w:r>
              <w:rPr>
                <w:sz w:val="20"/>
                <w:szCs w:val="20"/>
                <w:lang w:val="en-US"/>
              </w:rPr>
              <w:t>o</w:t>
            </w:r>
            <w:r w:rsidRPr="00CA350F">
              <w:rPr>
                <w:sz w:val="20"/>
                <w:szCs w:val="20"/>
                <w:lang w:val="en-US"/>
              </w:rPr>
              <w:t xml:space="preserve">f Natural Resources </w:t>
            </w:r>
            <w:r>
              <w:rPr>
                <w:sz w:val="20"/>
                <w:szCs w:val="20"/>
                <w:lang w:val="en-US"/>
              </w:rPr>
              <w:t>a</w:t>
            </w:r>
            <w:r w:rsidRPr="00CA350F">
              <w:rPr>
                <w:sz w:val="20"/>
                <w:szCs w:val="20"/>
                <w:lang w:val="en-US"/>
              </w:rPr>
              <w:t>nd Land Use</w:t>
            </w:r>
          </w:p>
          <w:p w14:paraId="617B7F4C" w14:textId="77777777" w:rsidR="00B25168" w:rsidRPr="00CA350F" w:rsidRDefault="00B25168">
            <w:pPr>
              <w:rPr>
                <w:sz w:val="20"/>
                <w:szCs w:val="20"/>
                <w:lang w:val="en-US"/>
              </w:rPr>
            </w:pPr>
          </w:p>
          <w:p w14:paraId="617B7F4D" w14:textId="77777777" w:rsidR="00B25168" w:rsidRDefault="00723021">
            <w:pPr>
              <w:rPr>
                <w:sz w:val="20"/>
                <w:szCs w:val="20"/>
              </w:rPr>
            </w:pPr>
            <w:r>
              <w:rPr>
                <w:noProof/>
              </w:rPr>
              <w:drawing>
                <wp:inline distT="0" distB="0" distL="0" distR="0" wp14:anchorId="617B8004" wp14:editId="617B8005">
                  <wp:extent cx="360045" cy="360045"/>
                  <wp:effectExtent l="0" t="0" r="0" b="0"/>
                  <wp:docPr id="7" name="Изображение7" descr="Изображение выглядит как текст, снимок экрана,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7" descr="Изображение выглядит как текст, снимок экрана, логотип, Шрифт&#10;&#10;Контент, сгенерированный ИИ, может содержать ошибки."/>
                          <pic:cNvPicPr>
                            <a:picLocks noChangeAspect="1" noChangeArrowheads="1"/>
                          </pic:cNvPicPr>
                        </pic:nvPicPr>
                        <pic:blipFill>
                          <a:blip r:embed="rId8"/>
                          <a:srcRect l="34797" t="76448" r="53693" b="1898"/>
                          <a:stretch>
                            <a:fillRect/>
                          </a:stretch>
                        </pic:blipFill>
                        <pic:spPr bwMode="auto">
                          <a:xfrm>
                            <a:off x="0" y="0"/>
                            <a:ext cx="360045" cy="360045"/>
                          </a:xfrm>
                          <a:prstGeom prst="rect">
                            <a:avLst/>
                          </a:prstGeom>
                          <a:noFill/>
                        </pic:spPr>
                      </pic:pic>
                    </a:graphicData>
                  </a:graphic>
                </wp:inline>
              </w:drawing>
            </w: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14:paraId="34E032B0" w14:textId="77777777" w:rsidR="00FB2554" w:rsidRPr="0011302F" w:rsidRDefault="00FB2554" w:rsidP="00FB2554">
            <w:pPr>
              <w:rPr>
                <w:sz w:val="20"/>
                <w:szCs w:val="20"/>
                <w:lang w:val="en-US"/>
              </w:rPr>
            </w:pPr>
            <w:r w:rsidRPr="0011302F">
              <w:rPr>
                <w:sz w:val="20"/>
                <w:szCs w:val="20"/>
                <w:lang w:val="en-US"/>
              </w:rPr>
              <w:t>Investments in environmental projects in agriculture, production, natural resource management, and land use, including:</w:t>
            </w:r>
          </w:p>
          <w:p w14:paraId="1805679A" w14:textId="77777777" w:rsidR="00FB2554" w:rsidRPr="0011302F" w:rsidRDefault="00FB2554" w:rsidP="00FB2554">
            <w:pPr>
              <w:pStyle w:val="ad"/>
              <w:numPr>
                <w:ilvl w:val="0"/>
                <w:numId w:val="3"/>
              </w:numPr>
              <w:rPr>
                <w:sz w:val="20"/>
                <w:szCs w:val="20"/>
                <w:lang w:val="en-US"/>
              </w:rPr>
            </w:pPr>
            <w:r w:rsidRPr="0011302F">
              <w:rPr>
                <w:sz w:val="20"/>
                <w:szCs w:val="20"/>
                <w:lang w:val="en-US"/>
              </w:rPr>
              <w:t>Production of organic agricultural, farming, and fishery products (including construction and operation of facilities) that comply with clean production standards (targeted reduction of methane, nitrous oxide, and carbon dioxide emissions).</w:t>
            </w:r>
          </w:p>
          <w:p w14:paraId="2264345F" w14:textId="77777777" w:rsidR="00FB2554" w:rsidRPr="0011302F" w:rsidRDefault="00FB2554" w:rsidP="00FB2554">
            <w:pPr>
              <w:pStyle w:val="ad"/>
              <w:numPr>
                <w:ilvl w:val="0"/>
                <w:numId w:val="3"/>
              </w:numPr>
              <w:rPr>
                <w:sz w:val="20"/>
                <w:szCs w:val="20"/>
                <w:lang w:val="en-US"/>
              </w:rPr>
            </w:pPr>
            <w:r w:rsidRPr="0011302F">
              <w:rPr>
                <w:sz w:val="20"/>
                <w:szCs w:val="20"/>
                <w:lang w:val="en-US"/>
              </w:rPr>
              <w:t>Climate-smart agriculture (sustainable pasture and livestock management), including at least a 30% reduction in fresh (natural) water consumption, water reuse, use of renewable energy sources, and at least a 20% reduction in energy consumption or greenhouse gas emissions.</w:t>
            </w:r>
          </w:p>
          <w:p w14:paraId="617B7F51" w14:textId="7939E78A" w:rsidR="00B25168" w:rsidRPr="00FB2554" w:rsidRDefault="00FB2554" w:rsidP="00FB2554">
            <w:pPr>
              <w:pStyle w:val="ad"/>
              <w:numPr>
                <w:ilvl w:val="0"/>
                <w:numId w:val="3"/>
              </w:numPr>
              <w:rPr>
                <w:sz w:val="20"/>
                <w:szCs w:val="20"/>
                <w:lang w:val="en-US"/>
              </w:rPr>
            </w:pPr>
            <w:r w:rsidRPr="0011302F">
              <w:rPr>
                <w:sz w:val="20"/>
                <w:szCs w:val="20"/>
                <w:lang w:val="en-US"/>
              </w:rPr>
              <w:t>Environmentally sustainable forestry, including afforestation or reforestation, and the preservation or restoration of natural landscapes</w:t>
            </w:r>
            <w:r w:rsidR="00723021" w:rsidRPr="00FB2554">
              <w:rPr>
                <w:sz w:val="20"/>
                <w:szCs w:val="20"/>
                <w:lang w:val="en-US"/>
              </w:rPr>
              <w:t>.</w:t>
            </w:r>
          </w:p>
        </w:tc>
      </w:tr>
      <w:tr w:rsidR="00B25168" w:rsidRPr="00645D1F" w14:paraId="617B7F57" w14:textId="77777777" w:rsidTr="006F6ADB">
        <w:trPr>
          <w:trHeight w:val="1056"/>
        </w:trPr>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617B7F54" w14:textId="300E7BF9" w:rsidR="00B25168" w:rsidRDefault="00B211CD">
            <w:pPr>
              <w:rPr>
                <w:sz w:val="20"/>
                <w:szCs w:val="20"/>
                <w:lang w:val="en-US"/>
              </w:rPr>
            </w:pPr>
            <w:r w:rsidRPr="00B211CD">
              <w:rPr>
                <w:sz w:val="20"/>
                <w:szCs w:val="20"/>
                <w:lang w:val="en-US"/>
              </w:rPr>
              <w:t xml:space="preserve">Conservation of Terrestrial </w:t>
            </w:r>
            <w:r>
              <w:rPr>
                <w:sz w:val="20"/>
                <w:szCs w:val="20"/>
                <w:lang w:val="en-US"/>
              </w:rPr>
              <w:t>a</w:t>
            </w:r>
            <w:r w:rsidRPr="00B211CD">
              <w:rPr>
                <w:sz w:val="20"/>
                <w:szCs w:val="20"/>
                <w:lang w:val="en-US"/>
              </w:rPr>
              <w:t>nd Aquatic Biodiversity</w:t>
            </w:r>
          </w:p>
          <w:p w14:paraId="12705688" w14:textId="77777777" w:rsidR="00B211CD" w:rsidRPr="00B211CD" w:rsidRDefault="00B211CD">
            <w:pPr>
              <w:rPr>
                <w:sz w:val="20"/>
                <w:szCs w:val="20"/>
                <w:lang w:val="en-US"/>
              </w:rPr>
            </w:pPr>
          </w:p>
          <w:p w14:paraId="617B7F55" w14:textId="77777777" w:rsidR="00B25168" w:rsidRDefault="00723021">
            <w:pPr>
              <w:rPr>
                <w:sz w:val="20"/>
                <w:szCs w:val="20"/>
              </w:rPr>
            </w:pPr>
            <w:r>
              <w:rPr>
                <w:noProof/>
              </w:rPr>
              <w:drawing>
                <wp:inline distT="0" distB="0" distL="0" distR="0" wp14:anchorId="617B8006" wp14:editId="617B8007">
                  <wp:extent cx="352425" cy="360045"/>
                  <wp:effectExtent l="0" t="0" r="0" b="0"/>
                  <wp:docPr id="8" name="Изображение8" descr="Изображение выглядит как текст, снимок экрана,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8" descr="Изображение выглядит как текст, снимок экрана, логотип, Шрифт&#10;&#10;Контент, сгенерированный ИИ, может содержать ошибки."/>
                          <pic:cNvPicPr>
                            <a:picLocks noChangeAspect="1" noChangeArrowheads="1"/>
                          </pic:cNvPicPr>
                        </pic:nvPicPr>
                        <pic:blipFill>
                          <a:blip r:embed="rId8"/>
                          <a:srcRect l="17728" t="75974" r="70770" b="1898"/>
                          <a:stretch>
                            <a:fillRect/>
                          </a:stretch>
                        </pic:blipFill>
                        <pic:spPr bwMode="auto">
                          <a:xfrm>
                            <a:off x="0" y="0"/>
                            <a:ext cx="352425" cy="360045"/>
                          </a:xfrm>
                          <a:prstGeom prst="rect">
                            <a:avLst/>
                          </a:prstGeom>
                          <a:noFill/>
                        </pic:spPr>
                      </pic:pic>
                    </a:graphicData>
                  </a:graphic>
                </wp:inline>
              </w:drawing>
            </w:r>
            <w:r>
              <w:rPr>
                <w:sz w:val="20"/>
                <w:szCs w:val="20"/>
              </w:rPr>
              <w:t xml:space="preserve"> </w:t>
            </w:r>
            <w:r>
              <w:rPr>
                <w:noProof/>
              </w:rPr>
              <w:drawing>
                <wp:inline distT="0" distB="0" distL="0" distR="0" wp14:anchorId="617B8008" wp14:editId="617B8009">
                  <wp:extent cx="360045" cy="360045"/>
                  <wp:effectExtent l="0" t="0" r="0" b="0"/>
                  <wp:docPr id="9" name="Изображение9" descr="Изображение выглядит как текст, снимок экрана,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9" descr="Изображение выглядит как текст, снимок экрана, логотип, Шрифт&#10;&#10;Контент, сгенерированный ИИ, может содержать ошибки."/>
                          <pic:cNvPicPr>
                            <a:picLocks noChangeAspect="1" noChangeArrowheads="1"/>
                          </pic:cNvPicPr>
                        </pic:nvPicPr>
                        <pic:blipFill>
                          <a:blip r:embed="rId8"/>
                          <a:srcRect l="34797" t="76448" r="53693" b="1898"/>
                          <a:stretch>
                            <a:fillRect/>
                          </a:stretch>
                        </pic:blipFill>
                        <pic:spPr bwMode="auto">
                          <a:xfrm>
                            <a:off x="0" y="0"/>
                            <a:ext cx="360045" cy="360045"/>
                          </a:xfrm>
                          <a:prstGeom prst="rect">
                            <a:avLst/>
                          </a:prstGeom>
                          <a:noFill/>
                        </pic:spPr>
                      </pic:pic>
                    </a:graphicData>
                  </a:graphic>
                </wp:inline>
              </w:drawing>
            </w: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14:paraId="617B7F56" w14:textId="43372872" w:rsidR="00B25168" w:rsidRPr="00FB2554" w:rsidRDefault="00FB2554">
            <w:pPr>
              <w:rPr>
                <w:sz w:val="20"/>
                <w:szCs w:val="20"/>
                <w:lang w:val="en-US"/>
              </w:rPr>
            </w:pPr>
            <w:r w:rsidRPr="0011302F">
              <w:rPr>
                <w:sz w:val="20"/>
                <w:szCs w:val="20"/>
                <w:lang w:val="en-US"/>
              </w:rPr>
              <w:t>Investments in projects aimed at conserving the biosphere through the protection and/or restoration of degraded ecosystems, including the creation and maintenance of ecological functional zones such as designated wildlife habitats, wetlands, peatlands, and deserts</w:t>
            </w:r>
            <w:r w:rsidR="00723021" w:rsidRPr="00FB2554">
              <w:rPr>
                <w:sz w:val="20"/>
                <w:szCs w:val="20"/>
                <w:lang w:val="en-US"/>
              </w:rPr>
              <w:t>.</w:t>
            </w:r>
          </w:p>
        </w:tc>
      </w:tr>
      <w:tr w:rsidR="00B25168" w:rsidRPr="00645D1F" w14:paraId="617B7F5F" w14:textId="77777777" w:rsidTr="006F6ADB">
        <w:trPr>
          <w:trHeight w:val="2448"/>
        </w:trPr>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617B7F58" w14:textId="5248644B" w:rsidR="00B25168" w:rsidRPr="00B211CD" w:rsidRDefault="00B211CD">
            <w:pPr>
              <w:rPr>
                <w:sz w:val="20"/>
                <w:szCs w:val="20"/>
                <w:lang w:val="en-US"/>
              </w:rPr>
            </w:pPr>
            <w:r>
              <w:rPr>
                <w:sz w:val="20"/>
                <w:szCs w:val="20"/>
                <w:lang w:val="en-US"/>
              </w:rPr>
              <w:t xml:space="preserve">Green Transport </w:t>
            </w:r>
          </w:p>
          <w:p w14:paraId="617B7F59" w14:textId="77777777" w:rsidR="00B25168" w:rsidRDefault="00B25168">
            <w:pPr>
              <w:rPr>
                <w:sz w:val="20"/>
                <w:szCs w:val="20"/>
              </w:rPr>
            </w:pPr>
          </w:p>
          <w:p w14:paraId="617B7F5A" w14:textId="77777777" w:rsidR="00B25168" w:rsidRDefault="00723021">
            <w:pPr>
              <w:rPr>
                <w:sz w:val="20"/>
                <w:szCs w:val="20"/>
              </w:rPr>
            </w:pPr>
            <w:r>
              <w:rPr>
                <w:noProof/>
              </w:rPr>
              <w:drawing>
                <wp:inline distT="0" distB="0" distL="0" distR="0" wp14:anchorId="617B800A" wp14:editId="617B800B">
                  <wp:extent cx="363855" cy="360045"/>
                  <wp:effectExtent l="0" t="0" r="0" b="0"/>
                  <wp:docPr id="10" name="Изображение10" descr="Изображение выглядит как текст, снимок экрана,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10" descr="Изображение выглядит как текст, снимок экрана, логотип, Шрифт&#10;&#10;Контент, сгенерированный ИИ, может содержать ошибки."/>
                          <pic:cNvPicPr>
                            <a:picLocks noChangeAspect="1" noChangeArrowheads="1"/>
                          </pic:cNvPicPr>
                        </pic:nvPicPr>
                        <pic:blipFill>
                          <a:blip r:embed="rId8"/>
                          <a:srcRect l="68821" t="39198" r="19414" b="38894"/>
                          <a:stretch>
                            <a:fillRect/>
                          </a:stretch>
                        </pic:blipFill>
                        <pic:spPr bwMode="auto">
                          <a:xfrm>
                            <a:off x="0" y="0"/>
                            <a:ext cx="363855" cy="360045"/>
                          </a:xfrm>
                          <a:prstGeom prst="rect">
                            <a:avLst/>
                          </a:prstGeom>
                          <a:noFill/>
                        </pic:spPr>
                      </pic:pic>
                    </a:graphicData>
                  </a:graphic>
                </wp:inline>
              </w:drawing>
            </w: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14:paraId="2643CC18" w14:textId="77777777" w:rsidR="00FB2554" w:rsidRPr="0011302F" w:rsidRDefault="00FB2554" w:rsidP="00FB2554">
            <w:pPr>
              <w:rPr>
                <w:sz w:val="20"/>
                <w:szCs w:val="20"/>
                <w:lang w:val="en-US"/>
              </w:rPr>
            </w:pPr>
            <w:r w:rsidRPr="0011302F">
              <w:rPr>
                <w:sz w:val="20"/>
                <w:szCs w:val="20"/>
                <w:lang w:val="en-US"/>
              </w:rPr>
              <w:t>Investments related to the development, construction, acquisition, operation, maintenance, and upgrading of transport assets with zero and low carbon emissions:</w:t>
            </w:r>
          </w:p>
          <w:p w14:paraId="11F96BB8" w14:textId="77777777" w:rsidR="00FB2554" w:rsidRPr="0011302F" w:rsidRDefault="00FB2554" w:rsidP="00FB2554">
            <w:pPr>
              <w:pStyle w:val="ad"/>
              <w:numPr>
                <w:ilvl w:val="0"/>
                <w:numId w:val="3"/>
              </w:numPr>
              <w:rPr>
                <w:sz w:val="20"/>
                <w:szCs w:val="20"/>
                <w:lang w:val="en-US"/>
              </w:rPr>
            </w:pPr>
            <w:r w:rsidRPr="0011302F">
              <w:rPr>
                <w:sz w:val="20"/>
                <w:szCs w:val="20"/>
                <w:lang w:val="en-US"/>
              </w:rPr>
              <w:t>Zero-emission transport: investments in passenger and freight vehicles with zero tailpipe emissions, such as electric cars and electric trains.</w:t>
            </w:r>
          </w:p>
          <w:p w14:paraId="28A631C2" w14:textId="77777777" w:rsidR="00FB2554" w:rsidRPr="0011302F" w:rsidRDefault="00FB2554" w:rsidP="00FB2554">
            <w:pPr>
              <w:pStyle w:val="ad"/>
              <w:numPr>
                <w:ilvl w:val="0"/>
                <w:numId w:val="3"/>
              </w:numPr>
              <w:rPr>
                <w:sz w:val="20"/>
                <w:szCs w:val="20"/>
                <w:lang w:val="en-US"/>
              </w:rPr>
            </w:pPr>
            <w:r w:rsidRPr="0011302F">
              <w:rPr>
                <w:sz w:val="20"/>
                <w:szCs w:val="20"/>
                <w:lang w:val="en-US"/>
              </w:rPr>
              <w:t>Low-carbon transport with direct emissions: for public transport — no more than 50 grams CO2e per passenger-kilometer and for passenger cars — no more than 50 grams CO2e per kilometer until 2027; from 2027 onwards, both public and passenger transport must have zero direct emissions or comply with Euro V or VI standards, for rail freight — direct emissions of 40 grams CO2e per ton-kilometer until 2027, and 25 grams CO2e per ton-kilometer thereafter, with no more than 25% of fossil fuels in the transported cargo. For freight road transport — 25 grams CO2e per ton-kilometer.</w:t>
            </w:r>
          </w:p>
          <w:p w14:paraId="617B7F5E" w14:textId="78886BE5" w:rsidR="00B25168" w:rsidRDefault="00FB2554" w:rsidP="00FB2554">
            <w:pPr>
              <w:pStyle w:val="ad"/>
              <w:numPr>
                <w:ilvl w:val="0"/>
                <w:numId w:val="3"/>
              </w:numPr>
              <w:shd w:val="clear" w:color="auto" w:fill="FFFFFF" w:themeFill="background1"/>
              <w:rPr>
                <w:sz w:val="20"/>
                <w:szCs w:val="20"/>
                <w:lang w:val="kk-KZ"/>
              </w:rPr>
            </w:pPr>
            <w:r w:rsidRPr="0011302F">
              <w:rPr>
                <w:sz w:val="20"/>
                <w:szCs w:val="20"/>
                <w:lang w:val="en-US"/>
              </w:rPr>
              <w:t>Investments in infrastructure supporting the use of zero- and low-carbon emission vehicles</w:t>
            </w:r>
            <w:r>
              <w:rPr>
                <w:sz w:val="20"/>
                <w:szCs w:val="20"/>
                <w:lang w:val="en-US"/>
              </w:rPr>
              <w:t>.</w:t>
            </w:r>
          </w:p>
        </w:tc>
      </w:tr>
      <w:tr w:rsidR="00B25168" w:rsidRPr="00645D1F" w14:paraId="617B7F6A" w14:textId="77777777" w:rsidTr="006F6ADB">
        <w:trPr>
          <w:trHeight w:val="1853"/>
        </w:trPr>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617B7F61" w14:textId="6F135FBD" w:rsidR="00B25168" w:rsidRPr="00DE3186" w:rsidRDefault="00DE3186">
            <w:pPr>
              <w:rPr>
                <w:sz w:val="20"/>
                <w:szCs w:val="20"/>
                <w:lang w:val="en-US"/>
              </w:rPr>
            </w:pPr>
            <w:r w:rsidRPr="00DE3186">
              <w:rPr>
                <w:sz w:val="20"/>
                <w:szCs w:val="20"/>
                <w:lang w:val="en-US"/>
              </w:rPr>
              <w:t xml:space="preserve">Sustainable Management </w:t>
            </w:r>
            <w:r>
              <w:rPr>
                <w:sz w:val="20"/>
                <w:szCs w:val="20"/>
                <w:lang w:val="en-US"/>
              </w:rPr>
              <w:t>o</w:t>
            </w:r>
            <w:r w:rsidRPr="00DE3186">
              <w:rPr>
                <w:sz w:val="20"/>
                <w:szCs w:val="20"/>
                <w:lang w:val="en-US"/>
              </w:rPr>
              <w:t xml:space="preserve">f Water Resources </w:t>
            </w:r>
            <w:r>
              <w:rPr>
                <w:sz w:val="20"/>
                <w:szCs w:val="20"/>
                <w:lang w:val="en-US"/>
              </w:rPr>
              <w:t>a</w:t>
            </w:r>
            <w:r w:rsidRPr="00DE3186">
              <w:rPr>
                <w:sz w:val="20"/>
                <w:szCs w:val="20"/>
                <w:lang w:val="en-US"/>
              </w:rPr>
              <w:t>nd Wastewater</w:t>
            </w:r>
          </w:p>
          <w:p w14:paraId="617B7F62" w14:textId="77777777" w:rsidR="00B25168" w:rsidRDefault="00723021">
            <w:pPr>
              <w:rPr>
                <w:sz w:val="20"/>
                <w:szCs w:val="20"/>
              </w:rPr>
            </w:pPr>
            <w:r>
              <w:rPr>
                <w:noProof/>
              </w:rPr>
              <w:drawing>
                <wp:inline distT="0" distB="0" distL="0" distR="0" wp14:anchorId="617B800C" wp14:editId="617B800D">
                  <wp:extent cx="368935" cy="360045"/>
                  <wp:effectExtent l="0" t="0" r="0" b="0"/>
                  <wp:docPr id="11" name="Изображение11" descr="Изображение выглядит как текст, снимок экрана,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11" descr="Изображение выглядит как текст, снимок экрана, логотип, Шрифт&#10;&#10;Контент, сгенерированный ИИ, может содержать ошибки."/>
                          <pic:cNvPicPr>
                            <a:picLocks noChangeAspect="1" noChangeArrowheads="1"/>
                          </pic:cNvPicPr>
                        </pic:nvPicPr>
                        <pic:blipFill>
                          <a:blip r:embed="rId8"/>
                          <a:srcRect l="85772" t="1743" r="2483" b="76680"/>
                          <a:stretch>
                            <a:fillRect/>
                          </a:stretch>
                        </pic:blipFill>
                        <pic:spPr bwMode="auto">
                          <a:xfrm>
                            <a:off x="0" y="0"/>
                            <a:ext cx="368935" cy="360045"/>
                          </a:xfrm>
                          <a:prstGeom prst="rect">
                            <a:avLst/>
                          </a:prstGeom>
                          <a:noFill/>
                        </pic:spPr>
                      </pic:pic>
                    </a:graphicData>
                  </a:graphic>
                </wp:inline>
              </w:drawing>
            </w:r>
          </w:p>
          <w:p w14:paraId="617B7F63" w14:textId="77777777" w:rsidR="00B25168" w:rsidRDefault="00B25168">
            <w:pPr>
              <w:rPr>
                <w:sz w:val="20"/>
                <w:szCs w:val="20"/>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14:paraId="0EA9B2D0" w14:textId="77777777" w:rsidR="00FB2554" w:rsidRPr="0011302F" w:rsidRDefault="00FB2554" w:rsidP="00FB2554">
            <w:pPr>
              <w:rPr>
                <w:sz w:val="20"/>
                <w:szCs w:val="20"/>
                <w:lang w:val="en-US"/>
              </w:rPr>
            </w:pPr>
            <w:r w:rsidRPr="0011302F">
              <w:rPr>
                <w:sz w:val="20"/>
                <w:szCs w:val="20"/>
                <w:lang w:val="en-US"/>
              </w:rPr>
              <w:t>Investments in the efficient management of water resources and wastewater, including the creation of infrastructure (such as sustainable infrastructure for clean and/or drinking water, wastewater treatment, sustainable urban drainage systems, river regulation, and other flood protection measures), including:</w:t>
            </w:r>
          </w:p>
          <w:p w14:paraId="1F3D89A4" w14:textId="77777777" w:rsidR="00FB2554" w:rsidRPr="00C9725D" w:rsidRDefault="00FB2554" w:rsidP="00FB2554">
            <w:pPr>
              <w:pStyle w:val="ad"/>
              <w:numPr>
                <w:ilvl w:val="0"/>
                <w:numId w:val="22"/>
              </w:numPr>
              <w:rPr>
                <w:sz w:val="20"/>
                <w:szCs w:val="20"/>
                <w:lang w:val="en-US"/>
              </w:rPr>
            </w:pPr>
            <w:r w:rsidRPr="00C9725D">
              <w:rPr>
                <w:sz w:val="20"/>
                <w:szCs w:val="20"/>
                <w:lang w:val="en-US"/>
              </w:rPr>
              <w:t>Production, acquisition, and installation of water-saving, storage, and distribution technologies and systems that contribute to reducing the consumption of fresh (natural) water by at least 40% for domestic and drinking needs, 30% for irrigation, and 70% for industrial and technical needs.</w:t>
            </w:r>
          </w:p>
          <w:p w14:paraId="16D61546" w14:textId="77777777" w:rsidR="00FB2554" w:rsidRPr="0011302F" w:rsidRDefault="00FB2554" w:rsidP="00FB2554">
            <w:pPr>
              <w:pStyle w:val="ad"/>
              <w:numPr>
                <w:ilvl w:val="0"/>
                <w:numId w:val="21"/>
              </w:numPr>
              <w:rPr>
                <w:sz w:val="20"/>
                <w:szCs w:val="20"/>
                <w:lang w:val="en-US"/>
              </w:rPr>
            </w:pPr>
            <w:r w:rsidRPr="0011302F">
              <w:rPr>
                <w:sz w:val="20"/>
                <w:szCs w:val="20"/>
                <w:lang w:val="en-US"/>
              </w:rPr>
              <w:t>Prevention and mitigation of droughts, floods, and mudflows, development of irrigation systems to combat drought.</w:t>
            </w:r>
          </w:p>
          <w:p w14:paraId="2DFAD6DA" w14:textId="77777777" w:rsidR="00FB2554" w:rsidRPr="0011302F" w:rsidRDefault="00FB2554" w:rsidP="00FB2554">
            <w:pPr>
              <w:pStyle w:val="ad"/>
              <w:numPr>
                <w:ilvl w:val="0"/>
                <w:numId w:val="21"/>
              </w:numPr>
              <w:rPr>
                <w:sz w:val="20"/>
                <w:szCs w:val="20"/>
                <w:lang w:val="en-US"/>
              </w:rPr>
            </w:pPr>
            <w:r w:rsidRPr="0011302F">
              <w:rPr>
                <w:sz w:val="20"/>
                <w:szCs w:val="20"/>
                <w:lang w:val="en-US"/>
              </w:rPr>
              <w:t>Equipment or infrastructure for water use, water purification systems, desalination plants, with the average carbon intensity of electricity used for desalination being at or below 100 gCO₂e per kWh, along with proper management of salt disposal and water intake.</w:t>
            </w:r>
          </w:p>
          <w:p w14:paraId="0B113A6C" w14:textId="77777777" w:rsidR="00FB2554" w:rsidRPr="0011302F" w:rsidRDefault="00FB2554" w:rsidP="00FB2554">
            <w:pPr>
              <w:pStyle w:val="ad"/>
              <w:numPr>
                <w:ilvl w:val="0"/>
                <w:numId w:val="21"/>
              </w:numPr>
              <w:rPr>
                <w:sz w:val="20"/>
                <w:szCs w:val="20"/>
                <w:lang w:val="en-US"/>
              </w:rPr>
            </w:pPr>
            <w:r w:rsidRPr="0011302F">
              <w:rPr>
                <w:sz w:val="20"/>
                <w:szCs w:val="20"/>
                <w:lang w:val="en-US"/>
              </w:rPr>
              <w:t>Wastewater treatment facilities for subsequent recycling.</w:t>
            </w:r>
          </w:p>
          <w:p w14:paraId="617B7F69" w14:textId="2EFAF0D1" w:rsidR="00B25168" w:rsidRPr="00FB2554" w:rsidRDefault="00FB2554" w:rsidP="00FB2554">
            <w:pPr>
              <w:rPr>
                <w:color w:val="00B050"/>
                <w:sz w:val="20"/>
                <w:szCs w:val="20"/>
                <w:lang w:val="en-US"/>
              </w:rPr>
            </w:pPr>
            <w:r w:rsidRPr="0011302F">
              <w:rPr>
                <w:sz w:val="20"/>
                <w:szCs w:val="20"/>
                <w:lang w:val="en-US"/>
              </w:rPr>
              <w:lastRenderedPageBreak/>
              <w:t>The above projects must demonstrate a net reduction or neutral impact on greenhouse gas (GHG) emissions throughout their lifecycle, including minimizing emissions from energy use and decarbonizing water infrastructure</w:t>
            </w:r>
            <w:r w:rsidR="00723021" w:rsidRPr="00FB2554">
              <w:rPr>
                <w:sz w:val="20"/>
                <w:szCs w:val="20"/>
                <w:lang w:val="en-US"/>
              </w:rPr>
              <w:t>.</w:t>
            </w:r>
          </w:p>
        </w:tc>
      </w:tr>
      <w:tr w:rsidR="00B25168" w:rsidRPr="00645D1F" w14:paraId="617B7F7A" w14:textId="77777777" w:rsidTr="006F6ADB">
        <w:trPr>
          <w:trHeight w:val="1144"/>
        </w:trPr>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617B7F6C" w14:textId="79AB667F" w:rsidR="00B25168" w:rsidRDefault="00DE3186">
            <w:pPr>
              <w:rPr>
                <w:sz w:val="20"/>
                <w:szCs w:val="20"/>
              </w:rPr>
            </w:pPr>
            <w:r w:rsidRPr="00DE3186">
              <w:rPr>
                <w:sz w:val="20"/>
                <w:szCs w:val="20"/>
              </w:rPr>
              <w:lastRenderedPageBreak/>
              <w:t>Climate Change Adaptation</w:t>
            </w:r>
          </w:p>
          <w:p w14:paraId="13FA84CA" w14:textId="77777777" w:rsidR="00DE3186" w:rsidRDefault="00DE3186">
            <w:pPr>
              <w:rPr>
                <w:sz w:val="20"/>
                <w:szCs w:val="20"/>
              </w:rPr>
            </w:pPr>
          </w:p>
          <w:p w14:paraId="617B7F6D" w14:textId="77777777" w:rsidR="00B25168" w:rsidRDefault="00723021">
            <w:pPr>
              <w:rPr>
                <w:sz w:val="20"/>
                <w:szCs w:val="20"/>
              </w:rPr>
            </w:pPr>
            <w:r>
              <w:rPr>
                <w:noProof/>
              </w:rPr>
              <w:drawing>
                <wp:inline distT="0" distB="0" distL="0" distR="0" wp14:anchorId="617B800E" wp14:editId="617B800F">
                  <wp:extent cx="335280" cy="360045"/>
                  <wp:effectExtent l="0" t="0" r="0" b="0"/>
                  <wp:docPr id="12" name="Изображение12" descr="Изображение выглядит как текст, снимок экрана,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12" descr="Изображение выглядит как текст, снимок экрана, логотип, Шрифт&#10;&#10;Контент, сгенерированный ИИ, может содержать ошибки."/>
                          <pic:cNvPicPr>
                            <a:picLocks noChangeAspect="1" noChangeArrowheads="1"/>
                          </pic:cNvPicPr>
                        </pic:nvPicPr>
                        <pic:blipFill>
                          <a:blip r:embed="rId8"/>
                          <a:srcRect l="1035" t="76437" r="88358" b="2141"/>
                          <a:stretch>
                            <a:fillRect/>
                          </a:stretch>
                        </pic:blipFill>
                        <pic:spPr bwMode="auto">
                          <a:xfrm>
                            <a:off x="0" y="0"/>
                            <a:ext cx="335280" cy="360045"/>
                          </a:xfrm>
                          <a:prstGeom prst="rect">
                            <a:avLst/>
                          </a:prstGeom>
                          <a:noFill/>
                        </pic:spPr>
                      </pic:pic>
                    </a:graphicData>
                  </a:graphic>
                </wp:inline>
              </w:drawing>
            </w: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14:paraId="683B3FB7" w14:textId="77777777" w:rsidR="006F6ADB" w:rsidRPr="0011302F" w:rsidRDefault="006F6ADB" w:rsidP="006F6ADB">
            <w:pPr>
              <w:rPr>
                <w:sz w:val="20"/>
                <w:szCs w:val="20"/>
                <w:lang w:val="en-US"/>
              </w:rPr>
            </w:pPr>
            <w:r w:rsidRPr="0011302F">
              <w:rPr>
                <w:sz w:val="20"/>
                <w:szCs w:val="20"/>
                <w:lang w:val="en-US"/>
              </w:rPr>
              <w:t>Investments aimed at increasing asset resilience to climate change throughout their lifecycle, including:</w:t>
            </w:r>
          </w:p>
          <w:p w14:paraId="44084CE9" w14:textId="77777777" w:rsidR="006F6ADB" w:rsidRPr="0011302F" w:rsidRDefault="006F6ADB" w:rsidP="006F6ADB">
            <w:pPr>
              <w:pStyle w:val="ad"/>
              <w:numPr>
                <w:ilvl w:val="0"/>
                <w:numId w:val="23"/>
              </w:numPr>
              <w:rPr>
                <w:sz w:val="20"/>
                <w:szCs w:val="20"/>
                <w:lang w:val="en-US"/>
              </w:rPr>
            </w:pPr>
            <w:r w:rsidRPr="0011302F">
              <w:rPr>
                <w:sz w:val="20"/>
                <w:szCs w:val="20"/>
                <w:lang w:val="en-US"/>
              </w:rPr>
              <w:t>Improvement of irrigation infrastructure (implementation of drip irrigation, stormwater storage).</w:t>
            </w:r>
          </w:p>
          <w:p w14:paraId="0D7B6309" w14:textId="77777777" w:rsidR="006F6ADB" w:rsidRPr="0011302F" w:rsidRDefault="006F6ADB" w:rsidP="006F6ADB">
            <w:pPr>
              <w:pStyle w:val="ad"/>
              <w:numPr>
                <w:ilvl w:val="0"/>
                <w:numId w:val="23"/>
              </w:numPr>
              <w:rPr>
                <w:sz w:val="20"/>
                <w:szCs w:val="20"/>
                <w:lang w:val="en-US"/>
              </w:rPr>
            </w:pPr>
            <w:r w:rsidRPr="0011302F">
              <w:rPr>
                <w:sz w:val="20"/>
                <w:szCs w:val="20"/>
                <w:lang w:val="en-US"/>
              </w:rPr>
              <w:t>Grain storage infrastructure, climate-resilient livestock infrastructure.</w:t>
            </w:r>
          </w:p>
          <w:p w14:paraId="51930252" w14:textId="77777777" w:rsidR="006F6ADB" w:rsidRPr="0011302F" w:rsidRDefault="006F6ADB" w:rsidP="006F6ADB">
            <w:pPr>
              <w:pStyle w:val="ad"/>
              <w:numPr>
                <w:ilvl w:val="0"/>
                <w:numId w:val="23"/>
              </w:numPr>
              <w:rPr>
                <w:sz w:val="20"/>
                <w:szCs w:val="20"/>
                <w:lang w:val="en-US"/>
              </w:rPr>
            </w:pPr>
            <w:r w:rsidRPr="0011302F">
              <w:rPr>
                <w:sz w:val="20"/>
                <w:szCs w:val="20"/>
                <w:lang w:val="en-US"/>
              </w:rPr>
              <w:t>Climate -resilient roads.</w:t>
            </w:r>
          </w:p>
          <w:p w14:paraId="0FCCEA85" w14:textId="77777777" w:rsidR="006F6ADB" w:rsidRPr="0011302F" w:rsidRDefault="006F6ADB" w:rsidP="006F6ADB">
            <w:pPr>
              <w:pStyle w:val="ad"/>
              <w:numPr>
                <w:ilvl w:val="0"/>
                <w:numId w:val="23"/>
              </w:numPr>
              <w:rPr>
                <w:sz w:val="20"/>
                <w:szCs w:val="20"/>
                <w:lang w:val="en-US"/>
              </w:rPr>
            </w:pPr>
            <w:r w:rsidRPr="0011302F">
              <w:rPr>
                <w:sz w:val="20"/>
                <w:szCs w:val="20"/>
                <w:lang w:val="en-US"/>
              </w:rPr>
              <w:t>Relocation of infrastructure located in risk zones.</w:t>
            </w:r>
          </w:p>
          <w:p w14:paraId="434DA4EB" w14:textId="77777777" w:rsidR="006F6ADB" w:rsidRPr="0011302F" w:rsidRDefault="006F6ADB" w:rsidP="006F6ADB">
            <w:pPr>
              <w:pStyle w:val="ad"/>
              <w:numPr>
                <w:ilvl w:val="0"/>
                <w:numId w:val="23"/>
              </w:numPr>
              <w:rPr>
                <w:sz w:val="20"/>
                <w:szCs w:val="20"/>
                <w:lang w:val="en-US"/>
              </w:rPr>
            </w:pPr>
            <w:r w:rsidRPr="0011302F">
              <w:rPr>
                <w:sz w:val="20"/>
                <w:szCs w:val="20"/>
                <w:lang w:val="en-US"/>
              </w:rPr>
              <w:t>Climate-smart agriculture using resilient crops.</w:t>
            </w:r>
          </w:p>
          <w:p w14:paraId="14BC927B" w14:textId="77777777" w:rsidR="006F6ADB" w:rsidRPr="0011302F" w:rsidRDefault="006F6ADB" w:rsidP="006F6ADB">
            <w:pPr>
              <w:rPr>
                <w:sz w:val="20"/>
                <w:szCs w:val="20"/>
                <w:lang w:val="en-US"/>
              </w:rPr>
            </w:pPr>
            <w:r w:rsidRPr="0011302F">
              <w:rPr>
                <w:sz w:val="20"/>
                <w:szCs w:val="20"/>
                <w:lang w:val="en-US"/>
              </w:rPr>
              <w:t>Sector-specific investments aimed at enhancing the overall system resilience to climate change:</w:t>
            </w:r>
          </w:p>
          <w:p w14:paraId="214C3A9F" w14:textId="77777777" w:rsidR="006F6ADB" w:rsidRPr="0011302F" w:rsidRDefault="006F6ADB" w:rsidP="006F6ADB">
            <w:pPr>
              <w:pStyle w:val="ad"/>
              <w:numPr>
                <w:ilvl w:val="0"/>
                <w:numId w:val="24"/>
              </w:numPr>
              <w:rPr>
                <w:sz w:val="20"/>
                <w:szCs w:val="20"/>
                <w:lang w:val="en-US"/>
              </w:rPr>
            </w:pPr>
            <w:r w:rsidRPr="0011302F">
              <w:rPr>
                <w:sz w:val="20"/>
                <w:szCs w:val="20"/>
                <w:lang w:val="en-US"/>
              </w:rPr>
              <w:t>Water (extreme precipitation, drought): flood protection, wetland conservation, stormwater management, rainwater harvesting, relocation of wastewater treatment, enhanced water distribution systems, desalination, etc.</w:t>
            </w:r>
          </w:p>
          <w:p w14:paraId="0471B99C" w14:textId="77777777" w:rsidR="006F6ADB" w:rsidRPr="0011302F" w:rsidRDefault="006F6ADB" w:rsidP="006F6ADB">
            <w:pPr>
              <w:pStyle w:val="ad"/>
              <w:numPr>
                <w:ilvl w:val="0"/>
                <w:numId w:val="24"/>
              </w:numPr>
              <w:rPr>
                <w:sz w:val="20"/>
                <w:szCs w:val="20"/>
                <w:lang w:val="en-US"/>
              </w:rPr>
            </w:pPr>
            <w:r w:rsidRPr="0011302F">
              <w:rPr>
                <w:sz w:val="20"/>
                <w:szCs w:val="20"/>
                <w:lang w:val="en-US"/>
              </w:rPr>
              <w:t>Buildings (extreme precipitation, extreme temperatures): green roofs and walls, water retention gardens, permeable pavements, etc.</w:t>
            </w:r>
          </w:p>
          <w:p w14:paraId="19EA52F7" w14:textId="6DBAB849" w:rsidR="006F6ADB" w:rsidRPr="0011302F" w:rsidRDefault="006F6ADB" w:rsidP="006F6ADB">
            <w:pPr>
              <w:pStyle w:val="ad"/>
              <w:numPr>
                <w:ilvl w:val="0"/>
                <w:numId w:val="24"/>
              </w:numPr>
              <w:rPr>
                <w:sz w:val="20"/>
                <w:szCs w:val="20"/>
                <w:lang w:val="en-US"/>
              </w:rPr>
            </w:pPr>
            <w:r w:rsidRPr="0011302F">
              <w:rPr>
                <w:sz w:val="20"/>
                <w:szCs w:val="20"/>
                <w:lang w:val="en-US"/>
              </w:rPr>
              <w:t xml:space="preserve">Forestry (extreme temperatures, fire-prone weather): clearing of wild shrubs, species diversification, relocation of </w:t>
            </w:r>
            <w:r w:rsidR="006B3FA1" w:rsidRPr="0011302F">
              <w:rPr>
                <w:sz w:val="20"/>
                <w:szCs w:val="20"/>
                <w:lang w:val="en-US"/>
              </w:rPr>
              <w:t>species that are more resilient</w:t>
            </w:r>
            <w:r w:rsidRPr="0011302F">
              <w:rPr>
                <w:sz w:val="20"/>
                <w:szCs w:val="20"/>
                <w:lang w:val="en-US"/>
              </w:rPr>
              <w:t>, afforestation and reforestation, conservation and transplantation of mangrove forests, etc.</w:t>
            </w:r>
          </w:p>
          <w:p w14:paraId="4D7D9789" w14:textId="77777777" w:rsidR="006F6ADB" w:rsidRPr="0011302F" w:rsidRDefault="006F6ADB" w:rsidP="006F6ADB">
            <w:pPr>
              <w:pStyle w:val="ad"/>
              <w:numPr>
                <w:ilvl w:val="0"/>
                <w:numId w:val="24"/>
              </w:numPr>
              <w:rPr>
                <w:sz w:val="20"/>
                <w:szCs w:val="20"/>
                <w:lang w:val="en-US"/>
              </w:rPr>
            </w:pPr>
            <w:r w:rsidRPr="0011302F">
              <w:rPr>
                <w:sz w:val="20"/>
                <w:szCs w:val="20"/>
                <w:lang w:val="en-US"/>
              </w:rPr>
              <w:t>Energy (hurricanes/typhoons/cyclones): grid resilience, backup power and storage, etc.</w:t>
            </w:r>
          </w:p>
          <w:p w14:paraId="617B7F79" w14:textId="662B3962" w:rsidR="00B25168" w:rsidRPr="006F6ADB" w:rsidRDefault="006F6ADB" w:rsidP="006F6ADB">
            <w:pPr>
              <w:pStyle w:val="ad"/>
              <w:numPr>
                <w:ilvl w:val="0"/>
                <w:numId w:val="24"/>
              </w:numPr>
              <w:rPr>
                <w:color w:val="00B050"/>
                <w:sz w:val="20"/>
                <w:szCs w:val="20"/>
                <w:lang w:val="en-US"/>
              </w:rPr>
            </w:pPr>
            <w:r w:rsidRPr="00313085">
              <w:rPr>
                <w:sz w:val="20"/>
                <w:szCs w:val="20"/>
                <w:lang w:val="en-US"/>
              </w:rPr>
              <w:t>Information and communication technologies  (extreme precipitation, extreme temperatures, hurricanes/typhoons/cyclones): enhanced data distribution systems, climate monitoring and data collection used to inform and increase community resilience, such as early warning systems, relocation, or social networks, etc</w:t>
            </w:r>
            <w:r w:rsidR="00723021" w:rsidRPr="006F6ADB">
              <w:rPr>
                <w:sz w:val="20"/>
                <w:szCs w:val="20"/>
                <w:lang w:val="en-US"/>
              </w:rPr>
              <w:t>.</w:t>
            </w:r>
          </w:p>
        </w:tc>
      </w:tr>
      <w:tr w:rsidR="00B25168" w:rsidRPr="00645D1F" w14:paraId="617B7F7F" w14:textId="77777777" w:rsidTr="006F6ADB">
        <w:trPr>
          <w:trHeight w:val="1995"/>
        </w:trPr>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617B7F7B" w14:textId="43D163CE" w:rsidR="00B25168" w:rsidRPr="00FE2696" w:rsidRDefault="00AE24B7">
            <w:pPr>
              <w:rPr>
                <w:sz w:val="20"/>
                <w:szCs w:val="20"/>
                <w:lang w:val="en-US"/>
              </w:rPr>
            </w:pPr>
            <w:r w:rsidRPr="00FE2696">
              <w:rPr>
                <w:sz w:val="20"/>
                <w:szCs w:val="20"/>
                <w:lang w:val="en-US"/>
              </w:rPr>
              <w:t xml:space="preserve">Products, Production Technologies, </w:t>
            </w:r>
            <w:r>
              <w:rPr>
                <w:sz w:val="20"/>
                <w:szCs w:val="20"/>
                <w:lang w:val="en-US"/>
              </w:rPr>
              <w:t>a</w:t>
            </w:r>
            <w:r w:rsidRPr="00FE2696">
              <w:rPr>
                <w:sz w:val="20"/>
                <w:szCs w:val="20"/>
                <w:lang w:val="en-US"/>
              </w:rPr>
              <w:t xml:space="preserve">nd Processes Adapted </w:t>
            </w:r>
            <w:r>
              <w:rPr>
                <w:sz w:val="20"/>
                <w:szCs w:val="20"/>
                <w:lang w:val="en-US"/>
              </w:rPr>
              <w:t>t</w:t>
            </w:r>
            <w:r w:rsidRPr="00FE2696">
              <w:rPr>
                <w:sz w:val="20"/>
                <w:szCs w:val="20"/>
                <w:lang w:val="en-US"/>
              </w:rPr>
              <w:t xml:space="preserve">o Circular Economy </w:t>
            </w:r>
          </w:p>
          <w:p w14:paraId="617B7F7C" w14:textId="77777777" w:rsidR="00B25168" w:rsidRPr="00FE2696" w:rsidRDefault="00B25168">
            <w:pPr>
              <w:rPr>
                <w:sz w:val="20"/>
                <w:szCs w:val="20"/>
                <w:lang w:val="en-US"/>
              </w:rPr>
            </w:pPr>
          </w:p>
          <w:p w14:paraId="617B7F7D" w14:textId="77777777" w:rsidR="00B25168" w:rsidRDefault="00723021">
            <w:pPr>
              <w:rPr>
                <w:sz w:val="20"/>
                <w:szCs w:val="20"/>
              </w:rPr>
            </w:pPr>
            <w:r>
              <w:rPr>
                <w:noProof/>
              </w:rPr>
              <w:drawing>
                <wp:inline distT="0" distB="0" distL="0" distR="0" wp14:anchorId="617B8010" wp14:editId="617B8011">
                  <wp:extent cx="351790" cy="360045"/>
                  <wp:effectExtent l="0" t="0" r="0" b="0"/>
                  <wp:docPr id="13" name="Изображение13" descr="Изображение выглядит как текст, снимок экрана,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13" descr="Изображение выглядит как текст, снимок экрана, логотип, Шрифт&#10;&#10;Контент, сгенерированный ИИ, может содержать ошибки."/>
                          <pic:cNvPicPr>
                            <a:picLocks noChangeAspect="1" noChangeArrowheads="1"/>
                          </pic:cNvPicPr>
                        </pic:nvPicPr>
                        <pic:blipFill>
                          <a:blip r:embed="rId8"/>
                          <a:srcRect l="86153" t="39198" r="2466" b="38894"/>
                          <a:stretch>
                            <a:fillRect/>
                          </a:stretch>
                        </pic:blipFill>
                        <pic:spPr bwMode="auto">
                          <a:xfrm>
                            <a:off x="0" y="0"/>
                            <a:ext cx="351790" cy="360045"/>
                          </a:xfrm>
                          <a:prstGeom prst="rect">
                            <a:avLst/>
                          </a:prstGeom>
                          <a:noFill/>
                        </pic:spPr>
                      </pic:pic>
                    </a:graphicData>
                  </a:graphic>
                </wp:inline>
              </w:drawing>
            </w: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14:paraId="5F186A68" w14:textId="746006EC" w:rsidR="006F6ADB" w:rsidRPr="0011302F" w:rsidRDefault="006F6ADB" w:rsidP="006F6ADB">
            <w:pPr>
              <w:rPr>
                <w:sz w:val="20"/>
                <w:szCs w:val="20"/>
                <w:lang w:val="en-US"/>
              </w:rPr>
            </w:pPr>
            <w:r w:rsidRPr="0011302F">
              <w:rPr>
                <w:sz w:val="20"/>
                <w:szCs w:val="20"/>
                <w:lang w:val="en-US"/>
              </w:rPr>
              <w:t xml:space="preserve">Investments in the development, production, and implementation of ecologically clean and reused products, technologies, and services (including eco-labeling, eco-packaging, certification, </w:t>
            </w:r>
            <w:r>
              <w:rPr>
                <w:sz w:val="20"/>
                <w:szCs w:val="20"/>
                <w:lang w:val="en-US"/>
              </w:rPr>
              <w:t>etc.)</w:t>
            </w:r>
          </w:p>
          <w:p w14:paraId="617B7F7E" w14:textId="5FBFE09A" w:rsidR="00B25168" w:rsidRPr="006F6ADB" w:rsidRDefault="00B25168">
            <w:pPr>
              <w:rPr>
                <w:sz w:val="20"/>
                <w:szCs w:val="20"/>
                <w:lang w:val="en-US"/>
              </w:rPr>
            </w:pPr>
          </w:p>
        </w:tc>
      </w:tr>
      <w:tr w:rsidR="00B25168" w:rsidRPr="00645D1F" w14:paraId="617B7F88" w14:textId="77777777" w:rsidTr="006F6ADB">
        <w:trPr>
          <w:trHeight w:val="2448"/>
        </w:trPr>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617B7F80" w14:textId="0703C0A2" w:rsidR="00B25168" w:rsidRDefault="00AE24B7">
            <w:pPr>
              <w:rPr>
                <w:sz w:val="20"/>
                <w:szCs w:val="20"/>
              </w:rPr>
            </w:pPr>
            <w:r>
              <w:rPr>
                <w:sz w:val="20"/>
                <w:szCs w:val="20"/>
                <w:lang w:val="en-US"/>
              </w:rPr>
              <w:t xml:space="preserve">Green </w:t>
            </w:r>
            <w:r w:rsidR="00CA350F">
              <w:rPr>
                <w:sz w:val="20"/>
                <w:szCs w:val="20"/>
                <w:lang w:val="en-US"/>
              </w:rPr>
              <w:t>B</w:t>
            </w:r>
            <w:r>
              <w:rPr>
                <w:sz w:val="20"/>
                <w:szCs w:val="20"/>
                <w:lang w:val="en-US"/>
              </w:rPr>
              <w:t xml:space="preserve">uildings </w:t>
            </w:r>
          </w:p>
          <w:p w14:paraId="617B7F81" w14:textId="77777777" w:rsidR="00B25168" w:rsidRDefault="00B25168">
            <w:pPr>
              <w:rPr>
                <w:sz w:val="20"/>
                <w:szCs w:val="20"/>
              </w:rPr>
            </w:pPr>
          </w:p>
          <w:p w14:paraId="617B7F82" w14:textId="77777777" w:rsidR="00B25168" w:rsidRDefault="00723021">
            <w:pPr>
              <w:rPr>
                <w:sz w:val="20"/>
                <w:szCs w:val="20"/>
              </w:rPr>
            </w:pPr>
            <w:r>
              <w:rPr>
                <w:noProof/>
              </w:rPr>
              <w:drawing>
                <wp:inline distT="0" distB="0" distL="0" distR="0" wp14:anchorId="617B8012" wp14:editId="617B8013">
                  <wp:extent cx="363855" cy="360045"/>
                  <wp:effectExtent l="0" t="0" r="0" b="0"/>
                  <wp:docPr id="14" name="Изображение14" descr="Изображение выглядит как текст, снимок экрана,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Изображение14" descr="Изображение выглядит как текст, снимок экрана, логотип, Шрифт&#10;&#10;Контент, сгенерированный ИИ, может содержать ошибки."/>
                          <pic:cNvPicPr>
                            <a:picLocks noChangeAspect="1" noChangeArrowheads="1"/>
                          </pic:cNvPicPr>
                        </pic:nvPicPr>
                        <pic:blipFill>
                          <a:blip r:embed="rId8"/>
                          <a:srcRect l="68821" t="39198" r="19414" b="38894"/>
                          <a:stretch>
                            <a:fillRect/>
                          </a:stretch>
                        </pic:blipFill>
                        <pic:spPr bwMode="auto">
                          <a:xfrm>
                            <a:off x="0" y="0"/>
                            <a:ext cx="363855" cy="360045"/>
                          </a:xfrm>
                          <a:prstGeom prst="rect">
                            <a:avLst/>
                          </a:prstGeom>
                          <a:noFill/>
                        </pic:spPr>
                      </pic:pic>
                    </a:graphicData>
                  </a:graphic>
                </wp:inline>
              </w:drawing>
            </w: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14:paraId="0D564B3E" w14:textId="77777777" w:rsidR="006F6ADB" w:rsidRPr="0011302F" w:rsidRDefault="006F6ADB" w:rsidP="006F6ADB">
            <w:pPr>
              <w:rPr>
                <w:sz w:val="20"/>
                <w:szCs w:val="20"/>
                <w:lang w:val="en-US"/>
              </w:rPr>
            </w:pPr>
            <w:r w:rsidRPr="0011302F">
              <w:rPr>
                <w:sz w:val="20"/>
                <w:szCs w:val="20"/>
                <w:lang w:val="en-US"/>
              </w:rPr>
              <w:t>Investments in the construction of eco-friendly and energy-efficient buildings that comply with regional, national, or internationally recognized standards or certifications, as well as the modernization of existing buildings, including:</w:t>
            </w:r>
          </w:p>
          <w:p w14:paraId="42914DEF" w14:textId="77777777" w:rsidR="006F6ADB" w:rsidRPr="0011302F" w:rsidRDefault="006F6ADB" w:rsidP="006F6ADB">
            <w:pPr>
              <w:pStyle w:val="ad"/>
              <w:numPr>
                <w:ilvl w:val="0"/>
                <w:numId w:val="9"/>
              </w:numPr>
              <w:rPr>
                <w:sz w:val="20"/>
                <w:szCs w:val="20"/>
                <w:lang w:val="en-US"/>
              </w:rPr>
            </w:pPr>
            <w:r w:rsidRPr="0011302F">
              <w:rPr>
                <w:sz w:val="20"/>
                <w:szCs w:val="20"/>
                <w:lang w:val="en-US"/>
              </w:rPr>
              <w:t>Buildings must meet or exceed emission intensity targets based on the top 15% most efficient buildings in their city and typology.</w:t>
            </w:r>
          </w:p>
          <w:p w14:paraId="5B679D71" w14:textId="77777777" w:rsidR="006F6ADB" w:rsidRPr="0011302F" w:rsidRDefault="006F6ADB" w:rsidP="006F6ADB">
            <w:pPr>
              <w:pStyle w:val="ad"/>
              <w:numPr>
                <w:ilvl w:val="0"/>
                <w:numId w:val="9"/>
              </w:numPr>
              <w:rPr>
                <w:sz w:val="20"/>
                <w:szCs w:val="20"/>
                <w:lang w:val="en-US"/>
              </w:rPr>
            </w:pPr>
            <w:r w:rsidRPr="0011302F">
              <w:rPr>
                <w:sz w:val="20"/>
                <w:szCs w:val="20"/>
                <w:lang w:val="en-US"/>
              </w:rPr>
              <w:t>Possession of recognized green building ratings such as LEED, BREEAM, DGNB, OMIR (at least at the silver level) and/or high energy efficiency labeling.</w:t>
            </w:r>
          </w:p>
          <w:p w14:paraId="310FED2A" w14:textId="77777777" w:rsidR="006F6ADB" w:rsidRPr="0011302F" w:rsidRDefault="006F6ADB" w:rsidP="006F6ADB">
            <w:pPr>
              <w:pStyle w:val="ad"/>
              <w:numPr>
                <w:ilvl w:val="0"/>
                <w:numId w:val="9"/>
              </w:numPr>
              <w:rPr>
                <w:sz w:val="20"/>
                <w:szCs w:val="20"/>
                <w:lang w:val="en-US"/>
              </w:rPr>
            </w:pPr>
            <w:r w:rsidRPr="0011302F">
              <w:rPr>
                <w:sz w:val="20"/>
                <w:szCs w:val="20"/>
                <w:lang w:val="en-US"/>
              </w:rPr>
              <w:t>Reduction of water and/or electricity consumption by at least 15% compared to baseline.</w:t>
            </w:r>
          </w:p>
          <w:p w14:paraId="617B7F87" w14:textId="4B0A3A6D" w:rsidR="00B25168" w:rsidRPr="006F6ADB" w:rsidRDefault="006F6ADB" w:rsidP="006F6ADB">
            <w:pPr>
              <w:pStyle w:val="ad"/>
              <w:numPr>
                <w:ilvl w:val="0"/>
                <w:numId w:val="9"/>
              </w:numPr>
              <w:rPr>
                <w:color w:val="0070C0"/>
                <w:sz w:val="20"/>
                <w:szCs w:val="20"/>
                <w:lang w:val="en-US"/>
              </w:rPr>
            </w:pPr>
            <w:r w:rsidRPr="0011302F">
              <w:rPr>
                <w:sz w:val="20"/>
                <w:szCs w:val="20"/>
                <w:lang w:val="en-US"/>
              </w:rPr>
              <w:t>100% waste recycling without harm to ecosystems and water reuse</w:t>
            </w:r>
            <w:r w:rsidR="00723021" w:rsidRPr="006F6ADB">
              <w:rPr>
                <w:color w:val="000000"/>
                <w:sz w:val="20"/>
                <w:lang w:val="en-US"/>
              </w:rPr>
              <w:t>.</w:t>
            </w:r>
          </w:p>
        </w:tc>
      </w:tr>
    </w:tbl>
    <w:p w14:paraId="724BA11E" w14:textId="78D421C6" w:rsidR="006F6ADB" w:rsidRPr="000C1C73" w:rsidRDefault="006F6ADB" w:rsidP="007E7A2F">
      <w:pPr>
        <w:pStyle w:val="Default"/>
        <w:numPr>
          <w:ilvl w:val="0"/>
          <w:numId w:val="34"/>
        </w:numPr>
        <w:tabs>
          <w:tab w:val="left" w:pos="284"/>
          <w:tab w:val="left" w:pos="426"/>
        </w:tabs>
        <w:ind w:left="0" w:firstLine="0"/>
        <w:jc w:val="both"/>
        <w:rPr>
          <w:lang w:val="en-US"/>
        </w:rPr>
      </w:pPr>
      <w:r w:rsidRPr="000C1C73">
        <w:rPr>
          <w:lang w:val="en-US"/>
        </w:rPr>
        <w:t xml:space="preserve">The categories of </w:t>
      </w:r>
      <w:r>
        <w:rPr>
          <w:lang w:val="en-US"/>
        </w:rPr>
        <w:t>“</w:t>
      </w:r>
      <w:r w:rsidRPr="000C1C73">
        <w:rPr>
          <w:lang w:val="en-US"/>
        </w:rPr>
        <w:t>green</w:t>
      </w:r>
      <w:r>
        <w:rPr>
          <w:lang w:val="en-US"/>
        </w:rPr>
        <w:t>”</w:t>
      </w:r>
      <w:r w:rsidRPr="000C1C73">
        <w:rPr>
          <w:lang w:val="en-US"/>
        </w:rPr>
        <w:t xml:space="preserve"> projects presented in Table 1 are not exhaustive or final. When deciding</w:t>
      </w:r>
      <w:r>
        <w:rPr>
          <w:lang w:val="en-US"/>
        </w:rPr>
        <w:t xml:space="preserve"> whether to classify a loan as “green”, </w:t>
      </w:r>
      <w:r w:rsidRPr="000C1C73">
        <w:rPr>
          <w:lang w:val="en-US"/>
        </w:rPr>
        <w:t xml:space="preserve">the Bank </w:t>
      </w:r>
      <w:r>
        <w:rPr>
          <w:lang w:val="en-US"/>
        </w:rPr>
        <w:t>shall</w:t>
      </w:r>
      <w:r w:rsidRPr="000C1C73">
        <w:rPr>
          <w:lang w:val="en-US"/>
        </w:rPr>
        <w:t xml:space="preserve"> take into account a number of international sustainability principles and documents, including:</w:t>
      </w:r>
    </w:p>
    <w:p w14:paraId="5A70E339" w14:textId="63ED3CAD" w:rsidR="006F6ADB" w:rsidRPr="007E7A2F" w:rsidRDefault="006F6ADB" w:rsidP="007E7A2F">
      <w:pPr>
        <w:pStyle w:val="ad"/>
        <w:numPr>
          <w:ilvl w:val="0"/>
          <w:numId w:val="35"/>
        </w:numPr>
        <w:tabs>
          <w:tab w:val="left" w:pos="851"/>
        </w:tabs>
        <w:ind w:left="0" w:firstLine="567"/>
        <w:jc w:val="both"/>
        <w:rPr>
          <w:lang w:val="kk-KZ"/>
        </w:rPr>
      </w:pPr>
      <w:r w:rsidRPr="007E7A2F">
        <w:rPr>
          <w:lang w:val="kk-KZ"/>
        </w:rPr>
        <w:t>EU taxonomy for sustainable economic activities;</w:t>
      </w:r>
    </w:p>
    <w:p w14:paraId="617B7F8C" w14:textId="1F3D9889" w:rsidR="00B25168" w:rsidRPr="007E7A2F" w:rsidRDefault="006F6ADB" w:rsidP="007E7A2F">
      <w:pPr>
        <w:pStyle w:val="ad"/>
        <w:numPr>
          <w:ilvl w:val="0"/>
          <w:numId w:val="35"/>
        </w:numPr>
        <w:tabs>
          <w:tab w:val="left" w:pos="851"/>
        </w:tabs>
        <w:ind w:left="0" w:firstLine="567"/>
        <w:jc w:val="both"/>
        <w:rPr>
          <w:lang w:val="kk-KZ"/>
        </w:rPr>
      </w:pPr>
      <w:r w:rsidRPr="007E7A2F">
        <w:rPr>
          <w:lang w:val="kk-KZ"/>
        </w:rPr>
        <w:t>Climate Bonds Standard, as well as the Classification (Taxonomy) of “green” projects eligible for financing through “green” bonds and “green” loans, approved by Resolution of the Government of the Republic of Kazakhstan No. 996 dated December 31, 2021</w:t>
      </w:r>
      <w:r w:rsidR="00723021" w:rsidRPr="007E7A2F">
        <w:rPr>
          <w:lang w:val="kk-KZ"/>
        </w:rPr>
        <w:t>.</w:t>
      </w:r>
    </w:p>
    <w:p w14:paraId="617B7F8D" w14:textId="77777777" w:rsidR="00B25168" w:rsidRDefault="00723021">
      <w:pPr>
        <w:pStyle w:val="2"/>
        <w:rPr>
          <w:rFonts w:eastAsiaTheme="minorHAnsi"/>
          <w:lang w:val="kk-KZ" w:eastAsia="en-US"/>
        </w:rPr>
      </w:pPr>
      <w:bookmarkStart w:id="15" w:name="_Toc203989739"/>
      <w:r>
        <w:rPr>
          <w:rFonts w:eastAsiaTheme="minorHAnsi"/>
          <w:lang w:val="kk-KZ" w:eastAsia="en-US"/>
        </w:rPr>
        <w:t>4.1. Exclusion list</w:t>
      </w:r>
      <w:bookmarkEnd w:id="15"/>
      <w:r>
        <w:rPr>
          <w:rFonts w:eastAsiaTheme="minorHAnsi"/>
          <w:lang w:val="kk-KZ" w:eastAsia="en-US"/>
        </w:rPr>
        <w:t xml:space="preserve"> </w:t>
      </w:r>
    </w:p>
    <w:p w14:paraId="57DF09FE" w14:textId="636A03C7" w:rsidR="00117D15" w:rsidRPr="00E74F77" w:rsidRDefault="00117D15" w:rsidP="007E7A2F">
      <w:pPr>
        <w:pStyle w:val="Default"/>
        <w:numPr>
          <w:ilvl w:val="0"/>
          <w:numId w:val="34"/>
        </w:numPr>
        <w:tabs>
          <w:tab w:val="left" w:pos="284"/>
          <w:tab w:val="left" w:pos="426"/>
        </w:tabs>
        <w:ind w:left="0" w:firstLine="0"/>
        <w:jc w:val="both"/>
        <w:rPr>
          <w:lang w:val="en-US"/>
        </w:rPr>
      </w:pPr>
      <w:r w:rsidRPr="00E74F77">
        <w:rPr>
          <w:lang w:val="en-US"/>
        </w:rPr>
        <w:t>The Bank’s Environmental and Social Risk Management Policy defines types of activities and business practices that are ineligible for financing, reg</w:t>
      </w:r>
      <w:r>
        <w:rPr>
          <w:lang w:val="en-US"/>
        </w:rPr>
        <w:t xml:space="preserve">ardless of the funding source. Consistent with this Policy </w:t>
      </w:r>
      <w:r w:rsidRPr="00E74F77">
        <w:rPr>
          <w:lang w:val="en-US"/>
        </w:rPr>
        <w:t>the Bank shall additionally exclude the following activities from financing und</w:t>
      </w:r>
      <w:r>
        <w:rPr>
          <w:lang w:val="en-US"/>
        </w:rPr>
        <w:t>er green financing instruments:</w:t>
      </w:r>
    </w:p>
    <w:p w14:paraId="228F473E" w14:textId="48215C3F" w:rsidR="00117D15" w:rsidRPr="007E7A2F" w:rsidRDefault="00117D15" w:rsidP="007E7A2F">
      <w:pPr>
        <w:pStyle w:val="ad"/>
        <w:numPr>
          <w:ilvl w:val="0"/>
          <w:numId w:val="35"/>
        </w:numPr>
        <w:tabs>
          <w:tab w:val="left" w:pos="851"/>
        </w:tabs>
        <w:ind w:left="0" w:firstLine="567"/>
        <w:jc w:val="both"/>
        <w:rPr>
          <w:lang w:val="kk-KZ"/>
        </w:rPr>
      </w:pPr>
      <w:r w:rsidRPr="007E7A2F">
        <w:rPr>
          <w:lang w:val="kk-KZ"/>
        </w:rPr>
        <w:lastRenderedPageBreak/>
        <w:t>nuclear energy;</w:t>
      </w:r>
    </w:p>
    <w:p w14:paraId="6DACD390" w14:textId="28D669AF" w:rsidR="00117D15" w:rsidRPr="007E7A2F" w:rsidRDefault="00117D15" w:rsidP="007E7A2F">
      <w:pPr>
        <w:pStyle w:val="ad"/>
        <w:numPr>
          <w:ilvl w:val="0"/>
          <w:numId w:val="35"/>
        </w:numPr>
        <w:tabs>
          <w:tab w:val="left" w:pos="851"/>
        </w:tabs>
        <w:ind w:left="0" w:firstLine="567"/>
        <w:jc w:val="both"/>
        <w:rPr>
          <w:lang w:val="kk-KZ"/>
        </w:rPr>
      </w:pPr>
      <w:r w:rsidRPr="007E7A2F">
        <w:rPr>
          <w:lang w:val="kk-KZ"/>
        </w:rPr>
        <w:t>gambling, tobacco production, and alcohol production, regardless of relevant permits and licenses required under the legislation of the Republic of Kazakhstan;</w:t>
      </w:r>
    </w:p>
    <w:p w14:paraId="1A3D2471" w14:textId="745D95F3" w:rsidR="00117D15" w:rsidRPr="007E7A2F" w:rsidRDefault="00117D15" w:rsidP="007E7A2F">
      <w:pPr>
        <w:pStyle w:val="ad"/>
        <w:numPr>
          <w:ilvl w:val="0"/>
          <w:numId w:val="35"/>
        </w:numPr>
        <w:tabs>
          <w:tab w:val="left" w:pos="851"/>
        </w:tabs>
        <w:ind w:left="0" w:firstLine="567"/>
        <w:jc w:val="both"/>
        <w:rPr>
          <w:lang w:val="kk-KZ"/>
        </w:rPr>
      </w:pPr>
      <w:r w:rsidRPr="007E7A2F">
        <w:rPr>
          <w:lang w:val="kk-KZ"/>
        </w:rPr>
        <w:t>mining projects;</w:t>
      </w:r>
    </w:p>
    <w:p w14:paraId="36ABB088" w14:textId="6F7AF453" w:rsidR="00117D15" w:rsidRPr="007E7A2F" w:rsidRDefault="00117D15" w:rsidP="007E7A2F">
      <w:pPr>
        <w:pStyle w:val="ad"/>
        <w:numPr>
          <w:ilvl w:val="0"/>
          <w:numId w:val="35"/>
        </w:numPr>
        <w:tabs>
          <w:tab w:val="left" w:pos="851"/>
        </w:tabs>
        <w:ind w:left="0" w:firstLine="567"/>
        <w:jc w:val="both"/>
        <w:rPr>
          <w:lang w:val="kk-KZ"/>
        </w:rPr>
      </w:pPr>
      <w:r w:rsidRPr="007E7A2F">
        <w:rPr>
          <w:lang w:val="kk-KZ"/>
        </w:rPr>
        <w:t>projects involving the production of single-use plastic products for consumer purposes (excluding medical use);</w:t>
      </w:r>
    </w:p>
    <w:p w14:paraId="73A0350F" w14:textId="119D704B" w:rsidR="00117D15" w:rsidRPr="007E7A2F" w:rsidRDefault="00117D15" w:rsidP="007E7A2F">
      <w:pPr>
        <w:pStyle w:val="ad"/>
        <w:numPr>
          <w:ilvl w:val="0"/>
          <w:numId w:val="35"/>
        </w:numPr>
        <w:tabs>
          <w:tab w:val="left" w:pos="851"/>
        </w:tabs>
        <w:ind w:left="0" w:firstLine="567"/>
        <w:jc w:val="both"/>
        <w:rPr>
          <w:lang w:val="kk-KZ"/>
        </w:rPr>
      </w:pPr>
      <w:r w:rsidRPr="007E7A2F">
        <w:rPr>
          <w:lang w:val="kk-KZ"/>
        </w:rPr>
        <w:t>projects that involve forced eviction;</w:t>
      </w:r>
    </w:p>
    <w:p w14:paraId="6420709D" w14:textId="1F99D876" w:rsidR="00117D15" w:rsidRPr="007E7A2F" w:rsidRDefault="00117D15" w:rsidP="007E7A2F">
      <w:pPr>
        <w:pStyle w:val="ad"/>
        <w:numPr>
          <w:ilvl w:val="0"/>
          <w:numId w:val="35"/>
        </w:numPr>
        <w:tabs>
          <w:tab w:val="left" w:pos="851"/>
        </w:tabs>
        <w:ind w:left="0" w:firstLine="567"/>
        <w:jc w:val="both"/>
        <w:rPr>
          <w:lang w:val="kk-KZ"/>
        </w:rPr>
      </w:pPr>
      <w:r w:rsidRPr="007E7A2F">
        <w:rPr>
          <w:lang w:val="kk-KZ"/>
        </w:rPr>
        <w:t>fossil fuel-based power generation projects (including “clean coal” projects) or loans issued to the oil and gas companies, including any energy efficiency projects directly related to coal or oil extraction, transportation, or power generation;</w:t>
      </w:r>
    </w:p>
    <w:p w14:paraId="4B8D3417" w14:textId="28D9B919" w:rsidR="00117D15" w:rsidRPr="007E7A2F" w:rsidRDefault="00117D15" w:rsidP="007E7A2F">
      <w:pPr>
        <w:pStyle w:val="ad"/>
        <w:numPr>
          <w:ilvl w:val="0"/>
          <w:numId w:val="35"/>
        </w:numPr>
        <w:tabs>
          <w:tab w:val="left" w:pos="851"/>
        </w:tabs>
        <w:ind w:left="0" w:firstLine="567"/>
        <w:jc w:val="both"/>
        <w:rPr>
          <w:lang w:val="kk-KZ"/>
        </w:rPr>
      </w:pPr>
      <w:r w:rsidRPr="007E7A2F">
        <w:rPr>
          <w:lang w:val="kk-KZ"/>
        </w:rPr>
        <w:t>oil exploration and development of oil fields;</w:t>
      </w:r>
    </w:p>
    <w:p w14:paraId="03143645" w14:textId="3BA846ED" w:rsidR="00117D15" w:rsidRPr="007E7A2F" w:rsidRDefault="00117D15" w:rsidP="007E7A2F">
      <w:pPr>
        <w:pStyle w:val="ad"/>
        <w:numPr>
          <w:ilvl w:val="0"/>
          <w:numId w:val="35"/>
        </w:numPr>
        <w:tabs>
          <w:tab w:val="left" w:pos="851"/>
        </w:tabs>
        <w:ind w:left="0" w:firstLine="567"/>
        <w:jc w:val="both"/>
        <w:rPr>
          <w:lang w:val="kk-KZ"/>
        </w:rPr>
      </w:pPr>
      <w:r w:rsidRPr="007E7A2F">
        <w:rPr>
          <w:lang w:val="kk-KZ"/>
        </w:rPr>
        <w:t>activities involving the force-feeding of ducks and geese;</w:t>
      </w:r>
    </w:p>
    <w:p w14:paraId="3972955C" w14:textId="7851B15B" w:rsidR="00117D15" w:rsidRPr="007E7A2F" w:rsidRDefault="00117D15" w:rsidP="007E7A2F">
      <w:pPr>
        <w:pStyle w:val="ad"/>
        <w:numPr>
          <w:ilvl w:val="0"/>
          <w:numId w:val="35"/>
        </w:numPr>
        <w:tabs>
          <w:tab w:val="left" w:pos="851"/>
        </w:tabs>
        <w:ind w:left="0" w:firstLine="567"/>
        <w:jc w:val="both"/>
        <w:rPr>
          <w:lang w:val="kk-KZ"/>
        </w:rPr>
      </w:pPr>
      <w:r w:rsidRPr="007E7A2F">
        <w:rPr>
          <w:lang w:val="kk-KZ"/>
        </w:rPr>
        <w:t>keeping animals primarily for fur production or any activity related to fur production;</w:t>
      </w:r>
    </w:p>
    <w:p w14:paraId="7BD8CF46" w14:textId="77777777" w:rsidR="00117D15" w:rsidRPr="007E7A2F" w:rsidRDefault="00117D15" w:rsidP="007E7A2F">
      <w:pPr>
        <w:pStyle w:val="ad"/>
        <w:numPr>
          <w:ilvl w:val="0"/>
          <w:numId w:val="35"/>
        </w:numPr>
        <w:tabs>
          <w:tab w:val="left" w:pos="851"/>
        </w:tabs>
        <w:ind w:left="0" w:firstLine="567"/>
        <w:jc w:val="both"/>
        <w:rPr>
          <w:lang w:val="kk-KZ"/>
        </w:rPr>
      </w:pPr>
      <w:r w:rsidRPr="007E7A2F">
        <w:rPr>
          <w:lang w:val="kk-KZ"/>
        </w:rPr>
        <w:t>production, sale, and use of asbestos fibers, as well as products and mixtures intentionally containing such fibers;</w:t>
      </w:r>
    </w:p>
    <w:p w14:paraId="4794B401" w14:textId="3ABC3AA5" w:rsidR="00117D15" w:rsidRPr="007E7A2F" w:rsidRDefault="00117D15" w:rsidP="007E7A2F">
      <w:pPr>
        <w:pStyle w:val="ad"/>
        <w:numPr>
          <w:ilvl w:val="0"/>
          <w:numId w:val="35"/>
        </w:numPr>
        <w:tabs>
          <w:tab w:val="left" w:pos="851"/>
        </w:tabs>
        <w:ind w:left="0" w:firstLine="567"/>
        <w:jc w:val="both"/>
        <w:rPr>
          <w:lang w:val="kk-KZ"/>
        </w:rPr>
      </w:pPr>
      <w:r w:rsidRPr="007E7A2F">
        <w:rPr>
          <w:lang w:val="kk-KZ"/>
        </w:rPr>
        <w:t>activities prohibited by the laws of the host country or by international conventions on biodiversity or cultural heritage protection;</w:t>
      </w:r>
    </w:p>
    <w:p w14:paraId="2ECA62B5" w14:textId="6558C5AC" w:rsidR="00117D15" w:rsidRPr="007E7A2F" w:rsidRDefault="00117D15" w:rsidP="007E7A2F">
      <w:pPr>
        <w:pStyle w:val="ad"/>
        <w:numPr>
          <w:ilvl w:val="0"/>
          <w:numId w:val="35"/>
        </w:numPr>
        <w:tabs>
          <w:tab w:val="left" w:pos="851"/>
        </w:tabs>
        <w:ind w:left="0" w:firstLine="567"/>
        <w:jc w:val="both"/>
        <w:rPr>
          <w:lang w:val="kk-KZ"/>
        </w:rPr>
      </w:pPr>
      <w:r w:rsidRPr="007E7A2F">
        <w:rPr>
          <w:lang w:val="kk-KZ"/>
        </w:rPr>
        <w:t>ocean fishing using drift nets longer than 2.5 km;</w:t>
      </w:r>
    </w:p>
    <w:p w14:paraId="617B7F9B" w14:textId="7A0DD175" w:rsidR="00B25168" w:rsidRPr="007E7A2F" w:rsidRDefault="00117D15" w:rsidP="007E7A2F">
      <w:pPr>
        <w:pStyle w:val="ad"/>
        <w:numPr>
          <w:ilvl w:val="0"/>
          <w:numId w:val="35"/>
        </w:numPr>
        <w:tabs>
          <w:tab w:val="left" w:pos="851"/>
        </w:tabs>
        <w:ind w:left="0" w:firstLine="567"/>
        <w:jc w:val="both"/>
        <w:rPr>
          <w:lang w:val="kk-KZ"/>
        </w:rPr>
      </w:pPr>
      <w:r w:rsidRPr="007E7A2F">
        <w:rPr>
          <w:lang w:val="kk-KZ"/>
        </w:rPr>
        <w:t>transportation of oil or other hazardous materials by tanker vessels</w:t>
      </w:r>
      <w:r w:rsidR="00723021" w:rsidRPr="007E7A2F">
        <w:rPr>
          <w:lang w:val="kk-KZ"/>
        </w:rPr>
        <w:t>.</w:t>
      </w:r>
    </w:p>
    <w:p w14:paraId="76EAC562" w14:textId="77777777" w:rsidR="000A382A" w:rsidRDefault="000A382A" w:rsidP="000A382A">
      <w:pPr>
        <w:rPr>
          <w:b/>
          <w:lang w:val="en-US"/>
        </w:rPr>
      </w:pPr>
    </w:p>
    <w:p w14:paraId="27A33903" w14:textId="77777777" w:rsidR="000A382A" w:rsidRDefault="000A382A" w:rsidP="000A382A">
      <w:pPr>
        <w:rPr>
          <w:b/>
          <w:lang w:val="en-US"/>
        </w:rPr>
      </w:pPr>
    </w:p>
    <w:p w14:paraId="3BCEFE08" w14:textId="7F2966A4" w:rsidR="000A382A" w:rsidRPr="00CE1780" w:rsidRDefault="000A382A" w:rsidP="00CE1780">
      <w:pPr>
        <w:jc w:val="center"/>
        <w:rPr>
          <w:b/>
        </w:rPr>
      </w:pPr>
      <w:r w:rsidRPr="000C348E">
        <w:rPr>
          <w:b/>
          <w:lang w:val="en-US"/>
        </w:rPr>
        <w:t>Chapter 5. Process for Project Evaluation and Selection</w:t>
      </w:r>
    </w:p>
    <w:p w14:paraId="1677E2E5" w14:textId="77777777" w:rsidR="000A382A" w:rsidRPr="00697F59" w:rsidRDefault="000A382A" w:rsidP="00697F59">
      <w:pPr>
        <w:jc w:val="both"/>
        <w:rPr>
          <w:b/>
          <w:bCs/>
          <w:lang w:val="en-US"/>
        </w:rPr>
      </w:pPr>
      <w:r w:rsidRPr="00697F59">
        <w:rPr>
          <w:b/>
          <w:bCs/>
          <w:lang w:val="en-US"/>
        </w:rPr>
        <w:t>5.1. Sustainable financing at the Bank</w:t>
      </w:r>
    </w:p>
    <w:p w14:paraId="10481A2D" w14:textId="72E23AE5" w:rsidR="000A382A" w:rsidRPr="000C348E" w:rsidRDefault="000A382A" w:rsidP="00352327">
      <w:pPr>
        <w:pStyle w:val="Default"/>
        <w:numPr>
          <w:ilvl w:val="0"/>
          <w:numId w:val="34"/>
        </w:numPr>
        <w:tabs>
          <w:tab w:val="left" w:pos="284"/>
          <w:tab w:val="left" w:pos="426"/>
        </w:tabs>
        <w:ind w:left="0" w:firstLine="0"/>
        <w:jc w:val="both"/>
        <w:rPr>
          <w:lang w:val="en-US"/>
        </w:rPr>
      </w:pPr>
      <w:r w:rsidRPr="000C348E">
        <w:rPr>
          <w:lang w:val="en-US"/>
        </w:rPr>
        <w:t xml:space="preserve">The Bank </w:t>
      </w:r>
      <w:r>
        <w:rPr>
          <w:lang w:val="en-US"/>
        </w:rPr>
        <w:t>shall conduct</w:t>
      </w:r>
      <w:r w:rsidRPr="000C348E">
        <w:rPr>
          <w:lang w:val="en-US"/>
        </w:rPr>
        <w:t xml:space="preserve"> its lending activities in accordance with </w:t>
      </w:r>
      <w:r>
        <w:rPr>
          <w:lang w:val="en-US"/>
        </w:rPr>
        <w:t xml:space="preserve">the </w:t>
      </w:r>
      <w:r w:rsidRPr="000C348E">
        <w:rPr>
          <w:lang w:val="en-US"/>
        </w:rPr>
        <w:t>six Principles for Responsible Investment (PRI).</w:t>
      </w:r>
    </w:p>
    <w:p w14:paraId="3920DF8E" w14:textId="1C923DD4" w:rsidR="000A382A" w:rsidRPr="0088298A" w:rsidRDefault="000A382A" w:rsidP="00352327">
      <w:pPr>
        <w:pStyle w:val="Default"/>
        <w:numPr>
          <w:ilvl w:val="0"/>
          <w:numId w:val="34"/>
        </w:numPr>
        <w:tabs>
          <w:tab w:val="left" w:pos="284"/>
          <w:tab w:val="left" w:pos="426"/>
        </w:tabs>
        <w:ind w:left="0" w:firstLine="0"/>
        <w:jc w:val="both"/>
        <w:rPr>
          <w:lang w:val="en-US"/>
        </w:rPr>
      </w:pPr>
      <w:r w:rsidRPr="001D4138">
        <w:rPr>
          <w:lang w:val="en-US"/>
        </w:rPr>
        <w:t xml:space="preserve">All potential “green” loans issued by the Bank are subject to the standard credit process stipulated by the Bank’s Lending and </w:t>
      </w:r>
      <w:r>
        <w:rPr>
          <w:lang w:val="en-US"/>
        </w:rPr>
        <w:t>Credit Risk Management Policy</w:t>
      </w:r>
      <w:r w:rsidRPr="0088298A">
        <w:rPr>
          <w:lang w:val="en-US"/>
        </w:rPr>
        <w:t>. This process involves an assessment of the borrower's creditworthiness, the projec</w:t>
      </w:r>
      <w:r>
        <w:rPr>
          <w:lang w:val="en-US"/>
        </w:rPr>
        <w:t>t’s compliance with the Bank’</w:t>
      </w:r>
      <w:r w:rsidRPr="0088298A">
        <w:rPr>
          <w:lang w:val="en-US"/>
        </w:rPr>
        <w:t>s development strategy, loan repayment security mechanisms (collateral, guarantees, sureties), as well as a comprehensive assessment of climate, environmental, and social risks, along with other ESG factors.</w:t>
      </w:r>
    </w:p>
    <w:p w14:paraId="0499A0C7" w14:textId="57E8CE4E" w:rsidR="000A382A" w:rsidRPr="0088298A" w:rsidRDefault="000A382A" w:rsidP="00352327">
      <w:pPr>
        <w:pStyle w:val="Default"/>
        <w:numPr>
          <w:ilvl w:val="0"/>
          <w:numId w:val="34"/>
        </w:numPr>
        <w:tabs>
          <w:tab w:val="left" w:pos="284"/>
          <w:tab w:val="left" w:pos="426"/>
        </w:tabs>
        <w:ind w:left="0" w:firstLine="0"/>
        <w:jc w:val="both"/>
        <w:rPr>
          <w:lang w:val="en-US"/>
        </w:rPr>
      </w:pPr>
      <w:r w:rsidRPr="0088298A">
        <w:rPr>
          <w:lang w:val="en-US"/>
        </w:rPr>
        <w:t xml:space="preserve">The comprehensive assessment of climate, environmental, and social risks, as well as other ESG factors, </w:t>
      </w:r>
      <w:r>
        <w:rPr>
          <w:lang w:val="en-US"/>
        </w:rPr>
        <w:t xml:space="preserve">shall be performed </w:t>
      </w:r>
      <w:r w:rsidRPr="0088298A">
        <w:rPr>
          <w:lang w:val="en-US"/>
        </w:rPr>
        <w:t>on an individual basis, taking into account the borrower's sector profile and the size of its obligations to the Bank. This assessment provides for:</w:t>
      </w:r>
    </w:p>
    <w:p w14:paraId="14B9AB2B" w14:textId="0CDACCCC" w:rsidR="000A382A" w:rsidRPr="00352327" w:rsidRDefault="000A382A" w:rsidP="00352327">
      <w:pPr>
        <w:pStyle w:val="ad"/>
        <w:numPr>
          <w:ilvl w:val="0"/>
          <w:numId w:val="35"/>
        </w:numPr>
        <w:tabs>
          <w:tab w:val="left" w:pos="851"/>
        </w:tabs>
        <w:ind w:left="0" w:firstLine="567"/>
        <w:jc w:val="both"/>
        <w:rPr>
          <w:lang w:val="kk-KZ"/>
        </w:rPr>
      </w:pPr>
      <w:r w:rsidRPr="00352327">
        <w:rPr>
          <w:lang w:val="kk-KZ"/>
        </w:rPr>
        <w:t>checking whether the borrower’s activities and practices are consistent with the list of unacceptable activities, with refusal to finance such activities;</w:t>
      </w:r>
    </w:p>
    <w:p w14:paraId="31E83EEE" w14:textId="3D1A6B29" w:rsidR="000A382A" w:rsidRPr="00352327" w:rsidRDefault="000A382A" w:rsidP="00352327">
      <w:pPr>
        <w:pStyle w:val="ad"/>
        <w:numPr>
          <w:ilvl w:val="0"/>
          <w:numId w:val="35"/>
        </w:numPr>
        <w:tabs>
          <w:tab w:val="left" w:pos="851"/>
        </w:tabs>
        <w:ind w:left="0" w:firstLine="567"/>
        <w:jc w:val="both"/>
        <w:rPr>
          <w:lang w:val="kk-KZ"/>
        </w:rPr>
      </w:pPr>
      <w:r w:rsidRPr="00352327">
        <w:rPr>
          <w:lang w:val="kk-KZ"/>
        </w:rPr>
        <w:t>assessing the borrower’s/project’s activities exposure to climate, environmental, and social risks and other ESG factors. The assessment shall be conducted through the borrower’s completion of a questionnaire, based on which a risk level is determined and categorized as one of the following: low, reduced, medium, increased, or critical.</w:t>
      </w:r>
    </w:p>
    <w:p w14:paraId="35C2EDAE" w14:textId="77777777" w:rsidR="000A382A" w:rsidRDefault="000A382A" w:rsidP="00352327">
      <w:pPr>
        <w:ind w:firstLine="284"/>
        <w:jc w:val="both"/>
        <w:rPr>
          <w:lang w:val="en-US"/>
        </w:rPr>
      </w:pPr>
      <w:r w:rsidRPr="00C3489D">
        <w:rPr>
          <w:lang w:val="en-US"/>
        </w:rPr>
        <w:t>If medium, increased, or critical levels of environmental and social risks are identified in the borrower’s activities and/or during project implementation, draft conditions or action plans shall be developed to mitigate these risks.</w:t>
      </w:r>
      <w:r>
        <w:rPr>
          <w:lang w:val="en-US"/>
        </w:rPr>
        <w:t xml:space="preserve"> </w:t>
      </w:r>
    </w:p>
    <w:p w14:paraId="5B8029FC" w14:textId="3302A7E0" w:rsidR="000A382A" w:rsidRPr="00C3489D" w:rsidRDefault="000A382A" w:rsidP="00352327">
      <w:pPr>
        <w:pStyle w:val="Default"/>
        <w:numPr>
          <w:ilvl w:val="0"/>
          <w:numId w:val="34"/>
        </w:numPr>
        <w:tabs>
          <w:tab w:val="left" w:pos="284"/>
          <w:tab w:val="left" w:pos="426"/>
        </w:tabs>
        <w:ind w:left="0" w:firstLine="0"/>
        <w:jc w:val="both"/>
        <w:rPr>
          <w:lang w:val="en-US"/>
        </w:rPr>
      </w:pPr>
      <w:r w:rsidRPr="00501329">
        <w:rPr>
          <w:lang w:val="en-US"/>
        </w:rPr>
        <w:t>The Bank has implemented an ESG segmentation methodology for its loan portfolio, which outlines approaches for assessing the inherent exposure of industries in Kazakhstan to climate, environmental, and social risks, as well as other ESG factors. The level of industry risk exposure is taken into account when setting internal environmental and social risk limits for industries or sectors that are most vulnerable to environmental threats or that exert a heightened negative impact on the environment.</w:t>
      </w:r>
      <w:r>
        <w:rPr>
          <w:lang w:val="en-US"/>
        </w:rPr>
        <w:t xml:space="preserve"> </w:t>
      </w:r>
    </w:p>
    <w:p w14:paraId="5ED7A05B" w14:textId="06E1686E" w:rsidR="000A382A" w:rsidRDefault="000A382A" w:rsidP="00352327">
      <w:pPr>
        <w:pStyle w:val="Default"/>
        <w:numPr>
          <w:ilvl w:val="0"/>
          <w:numId w:val="34"/>
        </w:numPr>
        <w:tabs>
          <w:tab w:val="left" w:pos="284"/>
          <w:tab w:val="left" w:pos="426"/>
        </w:tabs>
        <w:ind w:left="0" w:firstLine="0"/>
        <w:jc w:val="both"/>
        <w:rPr>
          <w:lang w:val="en-US"/>
        </w:rPr>
      </w:pPr>
      <w:r w:rsidRPr="00DC4C46">
        <w:rPr>
          <w:lang w:val="en-US"/>
        </w:rPr>
        <w:t>The committees responsible for credit decision-making and the automated decision-making system, within the authority limits granted by the Board of Directors, shall make financing decisions, taking into account the results of the borrower’s ESG compliance assessment, in accordance with esta</w:t>
      </w:r>
      <w:r>
        <w:rPr>
          <w:lang w:val="en-US"/>
        </w:rPr>
        <w:t>blished materiality thresholds.</w:t>
      </w:r>
      <w:r w:rsidRPr="000C348E">
        <w:rPr>
          <w:lang w:val="en-US"/>
        </w:rPr>
        <w:t xml:space="preserve"> </w:t>
      </w:r>
    </w:p>
    <w:p w14:paraId="64EC1A1E" w14:textId="66C626C1" w:rsidR="000A382A" w:rsidRPr="00DC4C46" w:rsidRDefault="000A382A" w:rsidP="00352327">
      <w:pPr>
        <w:pStyle w:val="Default"/>
        <w:numPr>
          <w:ilvl w:val="0"/>
          <w:numId w:val="34"/>
        </w:numPr>
        <w:tabs>
          <w:tab w:val="left" w:pos="284"/>
          <w:tab w:val="left" w:pos="426"/>
        </w:tabs>
        <w:ind w:left="0" w:firstLine="0"/>
        <w:jc w:val="both"/>
        <w:rPr>
          <w:lang w:val="en-US"/>
        </w:rPr>
      </w:pPr>
      <w:r w:rsidRPr="00DC4C46">
        <w:rPr>
          <w:lang w:val="en-US"/>
        </w:rPr>
        <w:lastRenderedPageBreak/>
        <w:t>The</w:t>
      </w:r>
      <w:r w:rsidR="00936524">
        <w:rPr>
          <w:lang w:val="en-US"/>
        </w:rPr>
        <w:t xml:space="preserve"> Commission on Sustainable Development</w:t>
      </w:r>
      <w:r w:rsidRPr="00DC4C46">
        <w:rPr>
          <w:lang w:val="en-US"/>
        </w:rPr>
        <w:t>, acting as an advisory body to the Board of Directors, shall oversee the development and implementation of the Climate Strategy, as well as the identification, assessment, and consideration of climate-related risks and opportunities.</w:t>
      </w:r>
    </w:p>
    <w:p w14:paraId="50B2E93C" w14:textId="77777777" w:rsidR="000A382A" w:rsidRPr="000A382A" w:rsidRDefault="000A382A" w:rsidP="00697F59">
      <w:pPr>
        <w:jc w:val="both"/>
        <w:rPr>
          <w:b/>
          <w:lang w:val="en-US"/>
        </w:rPr>
      </w:pPr>
      <w:r w:rsidRPr="000A382A">
        <w:rPr>
          <w:b/>
          <w:lang w:val="en-US"/>
        </w:rPr>
        <w:t xml:space="preserve">5.2. Selection of eligible “green” projects </w:t>
      </w:r>
    </w:p>
    <w:p w14:paraId="7AAA71B1" w14:textId="5465F67E" w:rsidR="000A382A" w:rsidRPr="00DC4C46" w:rsidRDefault="000A382A" w:rsidP="00352327">
      <w:pPr>
        <w:pStyle w:val="Default"/>
        <w:numPr>
          <w:ilvl w:val="0"/>
          <w:numId w:val="34"/>
        </w:numPr>
        <w:tabs>
          <w:tab w:val="left" w:pos="284"/>
          <w:tab w:val="left" w:pos="426"/>
        </w:tabs>
        <w:ind w:left="0" w:firstLine="0"/>
        <w:jc w:val="both"/>
        <w:rPr>
          <w:lang w:val="en-US"/>
        </w:rPr>
      </w:pPr>
      <w:r w:rsidRPr="00DC4C46">
        <w:rPr>
          <w:lang w:val="en-US"/>
        </w:rPr>
        <w:t xml:space="preserve">Loans issued to legal entities, individual entrepreneurs, and individuals for investment purposes that meet the criteria of </w:t>
      </w:r>
      <w:r>
        <w:rPr>
          <w:lang w:val="en-US"/>
        </w:rPr>
        <w:t>“</w:t>
      </w:r>
      <w:r w:rsidRPr="00DC4C46">
        <w:rPr>
          <w:lang w:val="en-US"/>
        </w:rPr>
        <w:t>green</w:t>
      </w:r>
      <w:r>
        <w:rPr>
          <w:lang w:val="en-US"/>
        </w:rPr>
        <w:t>”</w:t>
      </w:r>
      <w:r w:rsidRPr="00DC4C46">
        <w:rPr>
          <w:lang w:val="en-US"/>
        </w:rPr>
        <w:t xml:space="preserve"> projects, as set out in paragraphs 17 and 18 of this Policy, shall be labeled as “green” loans in the Bank’s automated banking information system (ABIS). The conditions and process for assigning the green label, as well as the roles and responsibilities of process participants, are regulated by the Bank’s internal regulatory documents (IRDs).</w:t>
      </w:r>
    </w:p>
    <w:p w14:paraId="77D89DC4" w14:textId="06E1BF31" w:rsidR="000A382A" w:rsidRPr="00EF6334" w:rsidRDefault="000A382A" w:rsidP="00352327">
      <w:pPr>
        <w:pStyle w:val="Default"/>
        <w:numPr>
          <w:ilvl w:val="0"/>
          <w:numId w:val="34"/>
        </w:numPr>
        <w:tabs>
          <w:tab w:val="left" w:pos="284"/>
          <w:tab w:val="left" w:pos="426"/>
        </w:tabs>
        <w:ind w:left="0" w:firstLine="0"/>
        <w:jc w:val="both"/>
        <w:rPr>
          <w:lang w:val="en-US"/>
        </w:rPr>
      </w:pPr>
      <w:r w:rsidRPr="00EF6334">
        <w:rPr>
          <w:lang w:val="en-US"/>
        </w:rPr>
        <w:t xml:space="preserve">Experts of the </w:t>
      </w:r>
      <w:r w:rsidR="00936524">
        <w:rPr>
          <w:lang w:val="en-US"/>
        </w:rPr>
        <w:t>Commission on Sustainable Development</w:t>
      </w:r>
      <w:r w:rsidR="00936524" w:rsidRPr="00EF6334">
        <w:rPr>
          <w:lang w:val="en-US"/>
        </w:rPr>
        <w:t xml:space="preserve"> </w:t>
      </w:r>
      <w:r w:rsidRPr="00EF6334">
        <w:rPr>
          <w:lang w:val="en-US"/>
        </w:rPr>
        <w:t xml:space="preserve">shall assess potential “green” loans for compliance with the categories of “green” projects defined in the Policy (as per paragraphs 17 and 18), as well as their environmental benefits. CFC employees </w:t>
      </w:r>
      <w:r>
        <w:rPr>
          <w:lang w:val="en-US"/>
        </w:rPr>
        <w:t>shall</w:t>
      </w:r>
      <w:r w:rsidRPr="00EF6334">
        <w:rPr>
          <w:lang w:val="en-US"/>
        </w:rPr>
        <w:t xml:space="preserve"> nominate such loans as eligible for financing or refinancing through the issuance of </w:t>
      </w:r>
      <w:r>
        <w:rPr>
          <w:lang w:val="en-US"/>
        </w:rPr>
        <w:t>“</w:t>
      </w:r>
      <w:r w:rsidRPr="00EF6334">
        <w:rPr>
          <w:lang w:val="en-US"/>
        </w:rPr>
        <w:t>green</w:t>
      </w:r>
      <w:r>
        <w:rPr>
          <w:lang w:val="en-US"/>
        </w:rPr>
        <w:t>”</w:t>
      </w:r>
      <w:r w:rsidRPr="00EF6334">
        <w:rPr>
          <w:lang w:val="en-US"/>
        </w:rPr>
        <w:t xml:space="preserve"> bonds. Appendix 1 to the Policy contains a template for nominating a project for inclusion in the list of eligible </w:t>
      </w:r>
      <w:r>
        <w:rPr>
          <w:lang w:val="en-US"/>
        </w:rPr>
        <w:t>“</w:t>
      </w:r>
      <w:r w:rsidRPr="00EF6334">
        <w:rPr>
          <w:lang w:val="en-US"/>
        </w:rPr>
        <w:t>green</w:t>
      </w:r>
      <w:r>
        <w:rPr>
          <w:lang w:val="en-US"/>
        </w:rPr>
        <w:t>”</w:t>
      </w:r>
      <w:r w:rsidRPr="00EF6334">
        <w:rPr>
          <w:lang w:val="en-US"/>
        </w:rPr>
        <w:t xml:space="preserve"> projects </w:t>
      </w:r>
      <w:r>
        <w:rPr>
          <w:lang w:val="en-US"/>
        </w:rPr>
        <w:t>under</w:t>
      </w:r>
      <w:r w:rsidRPr="00EF6334">
        <w:rPr>
          <w:lang w:val="en-US"/>
        </w:rPr>
        <w:t xml:space="preserve"> the </w:t>
      </w:r>
      <w:r>
        <w:rPr>
          <w:lang w:val="en-US"/>
        </w:rPr>
        <w:t>“</w:t>
      </w:r>
      <w:r w:rsidRPr="00EF6334">
        <w:rPr>
          <w:lang w:val="en-US"/>
        </w:rPr>
        <w:t>green</w:t>
      </w:r>
      <w:r>
        <w:rPr>
          <w:lang w:val="en-US"/>
        </w:rPr>
        <w:t>”</w:t>
      </w:r>
      <w:r w:rsidRPr="00EF6334">
        <w:rPr>
          <w:lang w:val="en-US"/>
        </w:rPr>
        <w:t xml:space="preserve"> bond issuance.</w:t>
      </w:r>
    </w:p>
    <w:p w14:paraId="617B7FAA" w14:textId="5670810D" w:rsidR="00B25168" w:rsidRPr="00352327" w:rsidRDefault="000A382A" w:rsidP="00352327">
      <w:pPr>
        <w:pStyle w:val="Default"/>
        <w:numPr>
          <w:ilvl w:val="0"/>
          <w:numId w:val="34"/>
        </w:numPr>
        <w:tabs>
          <w:tab w:val="left" w:pos="284"/>
          <w:tab w:val="left" w:pos="426"/>
        </w:tabs>
        <w:ind w:left="0" w:firstLine="0"/>
        <w:jc w:val="both"/>
        <w:rPr>
          <w:lang w:val="en-US"/>
        </w:rPr>
      </w:pPr>
      <w:r w:rsidRPr="00EF6334">
        <w:rPr>
          <w:lang w:val="en-US"/>
        </w:rPr>
        <w:t xml:space="preserve">The final decision on financing or refinancing each project through the issuance of </w:t>
      </w:r>
      <w:r>
        <w:rPr>
          <w:lang w:val="en-US"/>
        </w:rPr>
        <w:t>“</w:t>
      </w:r>
      <w:r w:rsidRPr="00EF6334">
        <w:rPr>
          <w:lang w:val="en-US"/>
        </w:rPr>
        <w:t>green</w:t>
      </w:r>
      <w:r>
        <w:rPr>
          <w:lang w:val="en-US"/>
        </w:rPr>
        <w:t>”</w:t>
      </w:r>
      <w:r w:rsidRPr="00EF6334">
        <w:rPr>
          <w:lang w:val="en-US"/>
        </w:rPr>
        <w:t xml:space="preserve"> bonds shall be made by the authorized collegial body in accordance with the established authority limits for decisions related to credit risk. If the loans do not meet the eligibility criteria, the authorized collegial body shall decide to exclude such loans from the register of </w:t>
      </w:r>
      <w:r>
        <w:rPr>
          <w:lang w:val="en-US"/>
        </w:rPr>
        <w:t>“</w:t>
      </w:r>
      <w:r w:rsidRPr="00EF6334">
        <w:rPr>
          <w:lang w:val="en-US"/>
        </w:rPr>
        <w:t>green</w:t>
      </w:r>
      <w:r>
        <w:rPr>
          <w:lang w:val="en-US"/>
        </w:rPr>
        <w:t>”</w:t>
      </w:r>
      <w:r w:rsidRPr="00EF6334">
        <w:rPr>
          <w:lang w:val="en-US"/>
        </w:rPr>
        <w:t xml:space="preserve"> projects financed through </w:t>
      </w:r>
      <w:r>
        <w:rPr>
          <w:lang w:val="en-US"/>
        </w:rPr>
        <w:t>“</w:t>
      </w:r>
      <w:r w:rsidRPr="00EF6334">
        <w:rPr>
          <w:lang w:val="en-US"/>
        </w:rPr>
        <w:t>green</w:t>
      </w:r>
      <w:r>
        <w:rPr>
          <w:lang w:val="en-US"/>
        </w:rPr>
        <w:t>”</w:t>
      </w:r>
      <w:r w:rsidRPr="00EF6334">
        <w:rPr>
          <w:lang w:val="en-US"/>
        </w:rPr>
        <w:t xml:space="preserve"> financing instruments</w:t>
      </w:r>
      <w:r w:rsidR="00723021" w:rsidRPr="00352327">
        <w:rPr>
          <w:lang w:val="en-US"/>
        </w:rPr>
        <w:t>.</w:t>
      </w:r>
    </w:p>
    <w:p w14:paraId="06F29B01" w14:textId="77777777" w:rsidR="000A382A" w:rsidRDefault="000A382A" w:rsidP="000A382A">
      <w:pPr>
        <w:pStyle w:val="ad"/>
        <w:tabs>
          <w:tab w:val="left" w:pos="426"/>
        </w:tabs>
        <w:ind w:left="0"/>
        <w:jc w:val="both"/>
        <w:rPr>
          <w:rFonts w:eastAsiaTheme="minorHAnsi"/>
          <w:iCs/>
          <w:szCs w:val="22"/>
          <w:lang w:val="kk-KZ" w:eastAsia="en-US"/>
        </w:rPr>
      </w:pPr>
    </w:p>
    <w:p w14:paraId="3FBB1D9E" w14:textId="086C0D3E" w:rsidR="000A382A" w:rsidRPr="00DD5905" w:rsidRDefault="000A382A" w:rsidP="000A382A">
      <w:pPr>
        <w:jc w:val="center"/>
        <w:rPr>
          <w:b/>
          <w:lang w:val="en-US"/>
        </w:rPr>
      </w:pPr>
      <w:r w:rsidRPr="00DD5905">
        <w:rPr>
          <w:b/>
          <w:lang w:val="en-US"/>
        </w:rPr>
        <w:t>Chapter 6. Management of Proceeds</w:t>
      </w:r>
    </w:p>
    <w:p w14:paraId="74A4D60F" w14:textId="2AA48C0E" w:rsidR="000A382A" w:rsidRPr="00DD5905" w:rsidRDefault="000A382A" w:rsidP="00352327">
      <w:pPr>
        <w:pStyle w:val="Default"/>
        <w:numPr>
          <w:ilvl w:val="0"/>
          <w:numId w:val="34"/>
        </w:numPr>
        <w:tabs>
          <w:tab w:val="left" w:pos="284"/>
          <w:tab w:val="left" w:pos="426"/>
        </w:tabs>
        <w:ind w:left="0" w:firstLine="0"/>
        <w:jc w:val="both"/>
        <w:rPr>
          <w:lang w:val="en-US"/>
        </w:rPr>
      </w:pPr>
      <w:r w:rsidRPr="007818CB">
        <w:rPr>
          <w:lang w:val="en-US"/>
        </w:rPr>
        <w:t>Proceeds from the issuance of “green” bonds shall be allocated to a dedicated loan portfolio for separate accounti</w:t>
      </w:r>
      <w:r>
        <w:rPr>
          <w:lang w:val="en-US"/>
        </w:rPr>
        <w:t>ng and control of the proceeds.</w:t>
      </w:r>
    </w:p>
    <w:p w14:paraId="72B4F22F" w14:textId="202B12A3" w:rsidR="000A382A" w:rsidRDefault="000A382A" w:rsidP="00352327">
      <w:pPr>
        <w:pStyle w:val="Default"/>
        <w:numPr>
          <w:ilvl w:val="0"/>
          <w:numId w:val="34"/>
        </w:numPr>
        <w:tabs>
          <w:tab w:val="left" w:pos="284"/>
          <w:tab w:val="left" w:pos="426"/>
        </w:tabs>
        <w:ind w:left="0" w:firstLine="0"/>
        <w:jc w:val="both"/>
        <w:rPr>
          <w:lang w:val="en-US"/>
        </w:rPr>
      </w:pPr>
      <w:r w:rsidRPr="007818CB">
        <w:rPr>
          <w:lang w:val="en-US"/>
        </w:rPr>
        <w:t>Accounting for issued loans or approved loan applications associated with “green” projects, as defined in this Policy, whose underlying projects have undergone the evaluation and selection procedure (including refinancing projects), shall be carried out on a monthly basis and included in the Bank’s register of “green” projects. Following the bond issuance, an amount equal to the net proceeds from such transactions shall be allocated to this internal register in the order of disbursement.</w:t>
      </w:r>
    </w:p>
    <w:p w14:paraId="1FBD768B" w14:textId="562F0A24" w:rsidR="000A382A" w:rsidRDefault="000A382A" w:rsidP="00352327">
      <w:pPr>
        <w:pStyle w:val="Default"/>
        <w:numPr>
          <w:ilvl w:val="0"/>
          <w:numId w:val="34"/>
        </w:numPr>
        <w:tabs>
          <w:tab w:val="left" w:pos="284"/>
          <w:tab w:val="left" w:pos="426"/>
        </w:tabs>
        <w:ind w:left="0" w:firstLine="0"/>
        <w:jc w:val="both"/>
        <w:rPr>
          <w:lang w:val="en-US"/>
        </w:rPr>
      </w:pPr>
      <w:r>
        <w:rPr>
          <w:lang w:val="en-US"/>
        </w:rPr>
        <w:t>The Bank’s register of “</w:t>
      </w:r>
      <w:r w:rsidRPr="00DD5905">
        <w:rPr>
          <w:lang w:val="en-US"/>
        </w:rPr>
        <w:t>g</w:t>
      </w:r>
      <w:r>
        <w:rPr>
          <w:lang w:val="en-US"/>
        </w:rPr>
        <w:t>reen”</w:t>
      </w:r>
      <w:r w:rsidRPr="00DD5905">
        <w:rPr>
          <w:lang w:val="en-US"/>
        </w:rPr>
        <w:t xml:space="preserve"> projects must contain information on the environmental characteristics of the project, which serve as the basis for compliance with the eligibility criteria.</w:t>
      </w:r>
    </w:p>
    <w:p w14:paraId="42796C7E" w14:textId="4537BC3A" w:rsidR="000A382A" w:rsidRPr="000C37E4" w:rsidRDefault="000A382A" w:rsidP="00352327">
      <w:pPr>
        <w:pStyle w:val="Default"/>
        <w:numPr>
          <w:ilvl w:val="0"/>
          <w:numId w:val="34"/>
        </w:numPr>
        <w:tabs>
          <w:tab w:val="left" w:pos="284"/>
          <w:tab w:val="left" w:pos="426"/>
        </w:tabs>
        <w:ind w:left="0" w:firstLine="0"/>
        <w:jc w:val="both"/>
        <w:rPr>
          <w:lang w:val="en-US"/>
        </w:rPr>
      </w:pPr>
      <w:r w:rsidRPr="000C37E4">
        <w:rPr>
          <w:lang w:val="en-US"/>
        </w:rPr>
        <w:t xml:space="preserve">The Bank </w:t>
      </w:r>
      <w:r>
        <w:rPr>
          <w:lang w:val="en-US"/>
        </w:rPr>
        <w:t>shall periodically monitor</w:t>
      </w:r>
      <w:r w:rsidRPr="000C37E4">
        <w:rPr>
          <w:lang w:val="en-US"/>
        </w:rPr>
        <w:t xml:space="preserve"> the use of loan proceeds for “green” projects in accordance with the Bank’s internal regulatory documents. If, based on the results of such monitoring, the Bank concludes that the funds have not been used for their intended </w:t>
      </w:r>
      <w:r w:rsidR="006B3FA1" w:rsidRPr="000C37E4">
        <w:rPr>
          <w:lang w:val="en-US"/>
        </w:rPr>
        <w:t>purpose;</w:t>
      </w:r>
      <w:r w:rsidRPr="000C37E4">
        <w:rPr>
          <w:lang w:val="en-US"/>
        </w:rPr>
        <w:t xml:space="preserve"> the project shall be excluded from the Bank’s register of “green” projects.</w:t>
      </w:r>
    </w:p>
    <w:p w14:paraId="13236EDE" w14:textId="77ED4199" w:rsidR="000A382A" w:rsidRPr="000C37E4" w:rsidRDefault="000A382A" w:rsidP="00352327">
      <w:pPr>
        <w:pStyle w:val="Default"/>
        <w:numPr>
          <w:ilvl w:val="0"/>
          <w:numId w:val="34"/>
        </w:numPr>
        <w:tabs>
          <w:tab w:val="left" w:pos="284"/>
          <w:tab w:val="left" w:pos="426"/>
        </w:tabs>
        <w:ind w:left="0" w:firstLine="0"/>
        <w:jc w:val="both"/>
        <w:rPr>
          <w:lang w:val="en-US"/>
        </w:rPr>
      </w:pPr>
      <w:r w:rsidRPr="000C37E4">
        <w:rPr>
          <w:lang w:val="en-US"/>
        </w:rPr>
        <w:t xml:space="preserve">If, for any reason, the total amount of projects financed or refinanced through the issuance of “green” bonds is less than the total amount of outstanding “green” bonds, the Bank shall manage the unallocated proceeds in accordance with the Bank’s Liquidity Management Policy by investing them in the Treasury liquidity portfolio, consisting of short-term and liquid instruments. </w:t>
      </w:r>
      <w:r w:rsidRPr="00EB03B1">
        <w:rPr>
          <w:lang w:val="en-US"/>
        </w:rPr>
        <w:t>At the same time, the Bank shall undertake measures to promptly allocate the unallocated proceeds from the issuance of green financial instruments to eligible projects</w:t>
      </w:r>
      <w:r w:rsidRPr="000C37E4">
        <w:rPr>
          <w:lang w:val="en-US"/>
        </w:rPr>
        <w:t>.</w:t>
      </w:r>
    </w:p>
    <w:p w14:paraId="5161031A" w14:textId="77777777" w:rsidR="000A382A" w:rsidRDefault="000A382A" w:rsidP="00352327">
      <w:pPr>
        <w:ind w:firstLine="284"/>
        <w:jc w:val="both"/>
        <w:rPr>
          <w:lang w:val="en-US"/>
        </w:rPr>
      </w:pPr>
      <w:r w:rsidRPr="000C37E4">
        <w:rPr>
          <w:lang w:val="en-US"/>
        </w:rPr>
        <w:t xml:space="preserve">The Bank </w:t>
      </w:r>
      <w:r>
        <w:rPr>
          <w:lang w:val="en-US"/>
        </w:rPr>
        <w:t>shall</w:t>
      </w:r>
      <w:r w:rsidRPr="000C37E4">
        <w:rPr>
          <w:lang w:val="en-US"/>
        </w:rPr>
        <w:t xml:space="preserve"> not use any unallocated proceeds from the issuance of </w:t>
      </w:r>
      <w:r>
        <w:rPr>
          <w:lang w:val="en-US"/>
        </w:rPr>
        <w:t>“</w:t>
      </w:r>
      <w:r w:rsidRPr="000C37E4">
        <w:rPr>
          <w:lang w:val="en-US"/>
        </w:rPr>
        <w:t>green</w:t>
      </w:r>
      <w:r>
        <w:rPr>
          <w:lang w:val="en-US"/>
        </w:rPr>
        <w:t>”</w:t>
      </w:r>
      <w:r w:rsidRPr="000C37E4">
        <w:rPr>
          <w:lang w:val="en-US"/>
        </w:rPr>
        <w:t xml:space="preserve"> bonds to finance activities listed in paragraph 4.1 of this Policy.</w:t>
      </w:r>
    </w:p>
    <w:p w14:paraId="11C0EF17" w14:textId="77777777" w:rsidR="000A382A" w:rsidRPr="00AE4150" w:rsidRDefault="000A382A" w:rsidP="00697F59">
      <w:pPr>
        <w:jc w:val="both"/>
        <w:rPr>
          <w:lang w:val="en-US"/>
        </w:rPr>
      </w:pPr>
      <w:r w:rsidRPr="00AE4150">
        <w:rPr>
          <w:lang w:val="en-US"/>
        </w:rPr>
        <w:t>The Bank shall engage an external reviewer to conduct an audit of the management of proceeds in order to confirm that the proceeds from the issuance of “green” bonds have been allocated to eligible projects.</w:t>
      </w:r>
    </w:p>
    <w:p w14:paraId="617B7FB3" w14:textId="602D48C5" w:rsidR="00B25168" w:rsidRPr="00352327" w:rsidRDefault="000A382A" w:rsidP="00352327">
      <w:pPr>
        <w:pStyle w:val="Default"/>
        <w:numPr>
          <w:ilvl w:val="0"/>
          <w:numId w:val="34"/>
        </w:numPr>
        <w:tabs>
          <w:tab w:val="left" w:pos="284"/>
          <w:tab w:val="left" w:pos="426"/>
        </w:tabs>
        <w:ind w:left="0" w:firstLine="0"/>
        <w:jc w:val="both"/>
        <w:rPr>
          <w:lang w:val="en-US"/>
        </w:rPr>
      </w:pPr>
      <w:r w:rsidRPr="00AE4150">
        <w:rPr>
          <w:lang w:val="en-US"/>
        </w:rPr>
        <w:t>The Bank shall take all necessary actions to allocate the proceeds from the issuance of “green” bonds to investments in eligible projects within 24 months from the date the proceeds are received</w:t>
      </w:r>
      <w:r w:rsidR="00723021" w:rsidRPr="00352327">
        <w:rPr>
          <w:lang w:val="en-US"/>
        </w:rPr>
        <w:t>.</w:t>
      </w:r>
      <w:r w:rsidR="00723021" w:rsidRPr="000A382A">
        <w:rPr>
          <w:lang w:val="en-US"/>
        </w:rPr>
        <w:t xml:space="preserve"> </w:t>
      </w:r>
    </w:p>
    <w:p w14:paraId="617B7FB4" w14:textId="1859704F" w:rsidR="00B25168" w:rsidRPr="000A382A" w:rsidRDefault="000A382A">
      <w:pPr>
        <w:pStyle w:val="1"/>
        <w:rPr>
          <w:color w:val="auto"/>
          <w:lang w:val="en-US" w:eastAsia="en-US"/>
        </w:rPr>
      </w:pPr>
      <w:bookmarkStart w:id="16" w:name="_Toc138339008"/>
      <w:bookmarkStart w:id="17" w:name="_Toc139468104"/>
      <w:bookmarkStart w:id="18" w:name="_Toc139468247"/>
      <w:bookmarkStart w:id="19" w:name="_Toc140151320"/>
      <w:bookmarkStart w:id="20" w:name="_Toc140151457"/>
      <w:bookmarkStart w:id="21" w:name="_Toc140151886"/>
      <w:bookmarkStart w:id="22" w:name="_Toc140151910"/>
      <w:bookmarkStart w:id="23" w:name="_Toc140152161"/>
      <w:bookmarkStart w:id="24" w:name="_Toc180407834"/>
      <w:bookmarkStart w:id="25" w:name="_Toc203989740"/>
      <w:r>
        <w:rPr>
          <w:color w:val="auto"/>
          <w:lang w:val="en-US" w:eastAsia="en-US"/>
        </w:rPr>
        <w:t>Chapter</w:t>
      </w:r>
      <w:r w:rsidR="00723021" w:rsidRPr="00825370">
        <w:rPr>
          <w:color w:val="auto"/>
          <w:lang w:val="en-US" w:eastAsia="en-US"/>
        </w:rPr>
        <w:t xml:space="preserve"> 7. </w:t>
      </w:r>
      <w:bookmarkEnd w:id="16"/>
      <w:bookmarkEnd w:id="17"/>
      <w:bookmarkEnd w:id="18"/>
      <w:bookmarkEnd w:id="19"/>
      <w:bookmarkEnd w:id="20"/>
      <w:bookmarkEnd w:id="21"/>
      <w:bookmarkEnd w:id="22"/>
      <w:bookmarkEnd w:id="23"/>
      <w:bookmarkEnd w:id="24"/>
      <w:r>
        <w:rPr>
          <w:color w:val="auto"/>
          <w:lang w:val="en-US" w:eastAsia="en-US"/>
        </w:rPr>
        <w:t>Reporting</w:t>
      </w:r>
      <w:bookmarkEnd w:id="25"/>
      <w:r>
        <w:rPr>
          <w:color w:val="auto"/>
          <w:lang w:val="en-US" w:eastAsia="en-US"/>
        </w:rPr>
        <w:t xml:space="preserve"> </w:t>
      </w:r>
    </w:p>
    <w:p w14:paraId="3EBB8BB0" w14:textId="61315A2F" w:rsidR="00825370" w:rsidRPr="00C668E6" w:rsidRDefault="00825370" w:rsidP="00352327">
      <w:pPr>
        <w:pStyle w:val="Default"/>
        <w:numPr>
          <w:ilvl w:val="0"/>
          <w:numId w:val="34"/>
        </w:numPr>
        <w:tabs>
          <w:tab w:val="left" w:pos="284"/>
          <w:tab w:val="left" w:pos="426"/>
        </w:tabs>
        <w:ind w:left="0" w:firstLine="0"/>
        <w:jc w:val="both"/>
        <w:rPr>
          <w:lang w:val="en-US"/>
        </w:rPr>
      </w:pPr>
      <w:r w:rsidRPr="00C668E6">
        <w:rPr>
          <w:lang w:val="en-US"/>
        </w:rPr>
        <w:t>To ensure transparency regarding the use of proceeds from the issuance of “green” bonds, the Bank shall disclose the following information by publishing an annual report on the Bank’s corporate website:</w:t>
      </w:r>
    </w:p>
    <w:p w14:paraId="3BEABB1A" w14:textId="3901A405" w:rsidR="00825370" w:rsidRPr="00352327" w:rsidRDefault="00825370" w:rsidP="00352327">
      <w:pPr>
        <w:pStyle w:val="ad"/>
        <w:numPr>
          <w:ilvl w:val="0"/>
          <w:numId w:val="35"/>
        </w:numPr>
        <w:tabs>
          <w:tab w:val="left" w:pos="851"/>
        </w:tabs>
        <w:ind w:left="0" w:firstLine="567"/>
        <w:jc w:val="both"/>
        <w:rPr>
          <w:lang w:val="kk-KZ"/>
        </w:rPr>
      </w:pPr>
      <w:r w:rsidRPr="00352327">
        <w:rPr>
          <w:lang w:val="kk-KZ"/>
        </w:rPr>
        <w:t>Report on Allocation of Proceeds;</w:t>
      </w:r>
    </w:p>
    <w:p w14:paraId="371897F5" w14:textId="474FE188" w:rsidR="00825370" w:rsidRPr="00352327" w:rsidRDefault="00825370" w:rsidP="00352327">
      <w:pPr>
        <w:pStyle w:val="ad"/>
        <w:numPr>
          <w:ilvl w:val="0"/>
          <w:numId w:val="35"/>
        </w:numPr>
        <w:tabs>
          <w:tab w:val="left" w:pos="851"/>
        </w:tabs>
        <w:ind w:left="0" w:firstLine="567"/>
        <w:jc w:val="both"/>
        <w:rPr>
          <w:lang w:val="kk-KZ"/>
        </w:rPr>
      </w:pPr>
      <w:r w:rsidRPr="00352327">
        <w:rPr>
          <w:lang w:val="kk-KZ"/>
        </w:rPr>
        <w:t>Environmental and Social Impact Report.</w:t>
      </w:r>
    </w:p>
    <w:p w14:paraId="458A5EBB" w14:textId="77777777" w:rsidR="00825370" w:rsidRPr="00C668E6" w:rsidRDefault="00825370" w:rsidP="00697F59">
      <w:pPr>
        <w:jc w:val="both"/>
        <w:rPr>
          <w:lang w:val="en-US"/>
        </w:rPr>
      </w:pPr>
      <w:r w:rsidRPr="00C668E6">
        <w:rPr>
          <w:lang w:val="en-US"/>
        </w:rPr>
        <w:t>Disclosure</w:t>
      </w:r>
      <w:r>
        <w:rPr>
          <w:lang w:val="en-US"/>
        </w:rPr>
        <w:t>s</w:t>
      </w:r>
      <w:r w:rsidRPr="00C668E6">
        <w:rPr>
          <w:lang w:val="en-US"/>
        </w:rPr>
        <w:t xml:space="preserve"> shall be </w:t>
      </w:r>
      <w:r>
        <w:rPr>
          <w:lang w:val="en-US"/>
        </w:rPr>
        <w:t>made</w:t>
      </w:r>
      <w:r w:rsidRPr="00C668E6">
        <w:rPr>
          <w:lang w:val="en-US"/>
        </w:rPr>
        <w:t xml:space="preserve"> on an annual basis.</w:t>
      </w:r>
    </w:p>
    <w:p w14:paraId="6D274E99" w14:textId="4FA87843" w:rsidR="00825370" w:rsidRPr="00C668E6" w:rsidRDefault="00825370" w:rsidP="00352327">
      <w:pPr>
        <w:pStyle w:val="Default"/>
        <w:numPr>
          <w:ilvl w:val="0"/>
          <w:numId w:val="34"/>
        </w:numPr>
        <w:tabs>
          <w:tab w:val="left" w:pos="284"/>
          <w:tab w:val="left" w:pos="426"/>
        </w:tabs>
        <w:ind w:left="0" w:firstLine="0"/>
        <w:jc w:val="both"/>
        <w:rPr>
          <w:lang w:val="en-US"/>
        </w:rPr>
      </w:pPr>
      <w:r>
        <w:rPr>
          <w:lang w:val="en-US"/>
        </w:rPr>
        <w:t xml:space="preserve">The Report </w:t>
      </w:r>
      <w:r w:rsidR="006B3FA1">
        <w:rPr>
          <w:lang w:val="en-US"/>
        </w:rPr>
        <w:t xml:space="preserve">on </w:t>
      </w:r>
      <w:r w:rsidR="006B3FA1" w:rsidRPr="00C668E6">
        <w:rPr>
          <w:lang w:val="en-US"/>
        </w:rPr>
        <w:t>Allocation</w:t>
      </w:r>
      <w:r w:rsidRPr="00C668E6">
        <w:rPr>
          <w:lang w:val="en-US"/>
        </w:rPr>
        <w:t xml:space="preserve"> </w:t>
      </w:r>
      <w:r>
        <w:rPr>
          <w:lang w:val="en-US"/>
        </w:rPr>
        <w:t>o</w:t>
      </w:r>
      <w:r w:rsidRPr="00C668E6">
        <w:rPr>
          <w:lang w:val="en-US"/>
        </w:rPr>
        <w:t>f Proceeds shall include the following information:</w:t>
      </w:r>
    </w:p>
    <w:p w14:paraId="17FF4356" w14:textId="457A4736" w:rsidR="00825370" w:rsidRPr="00C668E6" w:rsidRDefault="00825370" w:rsidP="00EA6BC0">
      <w:pPr>
        <w:pStyle w:val="ad"/>
        <w:numPr>
          <w:ilvl w:val="0"/>
          <w:numId w:val="38"/>
        </w:numPr>
        <w:tabs>
          <w:tab w:val="left" w:pos="851"/>
        </w:tabs>
        <w:ind w:left="851" w:hanging="284"/>
        <w:jc w:val="both"/>
        <w:rPr>
          <w:lang w:val="en-US"/>
        </w:rPr>
      </w:pPr>
      <w:r w:rsidRPr="00C668E6">
        <w:rPr>
          <w:lang w:val="en-US"/>
        </w:rPr>
        <w:lastRenderedPageBreak/>
        <w:t>net proceeds received from the issued “green” bonds;</w:t>
      </w:r>
    </w:p>
    <w:p w14:paraId="36C7088B" w14:textId="532E88D2" w:rsidR="00825370" w:rsidRPr="00C668E6" w:rsidRDefault="00825370" w:rsidP="00EA6BC0">
      <w:pPr>
        <w:pStyle w:val="ad"/>
        <w:numPr>
          <w:ilvl w:val="0"/>
          <w:numId w:val="38"/>
        </w:numPr>
        <w:ind w:left="851" w:hanging="284"/>
        <w:jc w:val="both"/>
        <w:rPr>
          <w:lang w:val="en-US"/>
        </w:rPr>
      </w:pPr>
      <w:r w:rsidRPr="00C668E6">
        <w:rPr>
          <w:lang w:val="en-US"/>
        </w:rPr>
        <w:t>the amount of allocated net proceeds from the issued “green” bonds, broken down by eligible project categories;</w:t>
      </w:r>
    </w:p>
    <w:p w14:paraId="0C9F8F38" w14:textId="67DED715" w:rsidR="00825370" w:rsidRPr="00C668E6" w:rsidRDefault="00825370" w:rsidP="00EA6BC0">
      <w:pPr>
        <w:pStyle w:val="ad"/>
        <w:numPr>
          <w:ilvl w:val="0"/>
          <w:numId w:val="38"/>
        </w:numPr>
        <w:ind w:left="851" w:hanging="284"/>
        <w:jc w:val="both"/>
        <w:rPr>
          <w:lang w:val="en-US"/>
        </w:rPr>
      </w:pPr>
      <w:r w:rsidRPr="00C668E6">
        <w:rPr>
          <w:lang w:val="en-US"/>
        </w:rPr>
        <w:t>the allocation of proceeds between refinanced eligible projects and new eligible projects financed after the issuance of the “green” bonds;</w:t>
      </w:r>
    </w:p>
    <w:p w14:paraId="60461F33" w14:textId="045ABEB0" w:rsidR="00825370" w:rsidRPr="00C668E6" w:rsidRDefault="00825370" w:rsidP="00EA6BC0">
      <w:pPr>
        <w:pStyle w:val="ad"/>
        <w:numPr>
          <w:ilvl w:val="0"/>
          <w:numId w:val="38"/>
        </w:numPr>
        <w:ind w:left="851" w:hanging="284"/>
        <w:jc w:val="both"/>
        <w:rPr>
          <w:lang w:val="en-US"/>
        </w:rPr>
      </w:pPr>
      <w:r w:rsidRPr="00C668E6">
        <w:rPr>
          <w:lang w:val="en-US"/>
        </w:rPr>
        <w:t>the balance of unallocated proceeds from the issued “green” bonds at the end of the reporting period.</w:t>
      </w:r>
    </w:p>
    <w:p w14:paraId="50525FFF" w14:textId="77777777" w:rsidR="00825370" w:rsidRPr="00EA6BC0" w:rsidRDefault="00825370" w:rsidP="00EA6BC0">
      <w:pPr>
        <w:jc w:val="both"/>
        <w:rPr>
          <w:lang w:val="en-US"/>
        </w:rPr>
      </w:pPr>
      <w:r w:rsidRPr="00EA6BC0">
        <w:rPr>
          <w:lang w:val="en-US"/>
        </w:rPr>
        <w:t>In addition to the above information, the report on the allocation of proceeds shall also include confirmation that:</w:t>
      </w:r>
    </w:p>
    <w:p w14:paraId="033989F7" w14:textId="64ED83FF" w:rsidR="00825370" w:rsidRPr="00EA6BC0" w:rsidRDefault="00825370" w:rsidP="00EA6BC0">
      <w:pPr>
        <w:pStyle w:val="ad"/>
        <w:numPr>
          <w:ilvl w:val="0"/>
          <w:numId w:val="35"/>
        </w:numPr>
        <w:tabs>
          <w:tab w:val="left" w:pos="851"/>
        </w:tabs>
        <w:ind w:left="0" w:firstLine="567"/>
        <w:jc w:val="both"/>
        <w:rPr>
          <w:lang w:val="kk-KZ"/>
        </w:rPr>
      </w:pPr>
      <w:r w:rsidRPr="00EA6BC0">
        <w:rPr>
          <w:lang w:val="kk-KZ"/>
        </w:rPr>
        <w:t>the register of eligible projects is up to date;</w:t>
      </w:r>
    </w:p>
    <w:p w14:paraId="516E716A" w14:textId="4CC6F729" w:rsidR="00825370" w:rsidRPr="00EA6BC0" w:rsidRDefault="00825370" w:rsidP="00EA6BC0">
      <w:pPr>
        <w:pStyle w:val="ad"/>
        <w:numPr>
          <w:ilvl w:val="0"/>
          <w:numId w:val="35"/>
        </w:numPr>
        <w:tabs>
          <w:tab w:val="left" w:pos="851"/>
        </w:tabs>
        <w:ind w:left="0" w:firstLine="567"/>
        <w:jc w:val="both"/>
        <w:rPr>
          <w:lang w:val="kk-KZ"/>
        </w:rPr>
      </w:pPr>
      <w:r w:rsidRPr="00EA6BC0">
        <w:rPr>
          <w:lang w:val="kk-KZ"/>
        </w:rPr>
        <w:t>the Bank has managed the proceeds in accordance with the commitments outlined above;</w:t>
      </w:r>
    </w:p>
    <w:p w14:paraId="1501E18E" w14:textId="3AC8D6C7" w:rsidR="00825370" w:rsidRPr="00EA6BC0" w:rsidRDefault="00825370" w:rsidP="00EA6BC0">
      <w:pPr>
        <w:pStyle w:val="ad"/>
        <w:numPr>
          <w:ilvl w:val="0"/>
          <w:numId w:val="35"/>
        </w:numPr>
        <w:tabs>
          <w:tab w:val="left" w:pos="851"/>
        </w:tabs>
        <w:ind w:left="0" w:firstLine="567"/>
        <w:jc w:val="both"/>
        <w:rPr>
          <w:lang w:val="kk-KZ"/>
        </w:rPr>
      </w:pPr>
      <w:r w:rsidRPr="00EA6BC0">
        <w:rPr>
          <w:lang w:val="kk-KZ"/>
        </w:rPr>
        <w:t>the proceeds from the issuance of “green” bonds continue to be used for projects that meet the eligibility criteria set out in the Policy, or have been reallocated to other eligible projects.</w:t>
      </w:r>
    </w:p>
    <w:p w14:paraId="42936BBC" w14:textId="43E80E5C" w:rsidR="00825370" w:rsidRDefault="00825370" w:rsidP="00EA6BC0">
      <w:pPr>
        <w:pStyle w:val="Default"/>
        <w:numPr>
          <w:ilvl w:val="0"/>
          <w:numId w:val="34"/>
        </w:numPr>
        <w:tabs>
          <w:tab w:val="left" w:pos="284"/>
          <w:tab w:val="left" w:pos="426"/>
        </w:tabs>
        <w:ind w:left="0" w:firstLine="0"/>
        <w:jc w:val="both"/>
        <w:rPr>
          <w:lang w:val="en-US"/>
        </w:rPr>
      </w:pPr>
      <w:r w:rsidRPr="00C668E6">
        <w:rPr>
          <w:lang w:val="en-US"/>
        </w:rPr>
        <w:t xml:space="preserve">The </w:t>
      </w:r>
      <w:r w:rsidRPr="002A60D6">
        <w:rPr>
          <w:lang w:val="en-US"/>
        </w:rPr>
        <w:t xml:space="preserve">Environmental and </w:t>
      </w:r>
      <w:r>
        <w:rPr>
          <w:lang w:val="en-US"/>
        </w:rPr>
        <w:t xml:space="preserve">Social Impact Report </w:t>
      </w:r>
      <w:r w:rsidRPr="00C668E6">
        <w:rPr>
          <w:lang w:val="en-US"/>
        </w:rPr>
        <w:t>shall include qualitative and/or quantitative indicators (where feasible) of the expected and/or actual environmental and social impact of the projects. In preparing the report, the Bank takes into account the key principles and recommendations of the ICMA Harmonised Framework for Impact Reporting.</w:t>
      </w:r>
    </w:p>
    <w:p w14:paraId="321D0EA7" w14:textId="0F47E433" w:rsidR="00825370" w:rsidRPr="002A60D6" w:rsidRDefault="00825370" w:rsidP="00EA6BC0">
      <w:pPr>
        <w:pStyle w:val="Default"/>
        <w:numPr>
          <w:ilvl w:val="0"/>
          <w:numId w:val="34"/>
        </w:numPr>
        <w:tabs>
          <w:tab w:val="left" w:pos="284"/>
          <w:tab w:val="left" w:pos="426"/>
        </w:tabs>
        <w:ind w:left="0" w:firstLine="0"/>
        <w:jc w:val="both"/>
        <w:rPr>
          <w:lang w:val="en-US"/>
        </w:rPr>
      </w:pPr>
      <w:r w:rsidRPr="002A60D6">
        <w:rPr>
          <w:lang w:val="en-US"/>
        </w:rPr>
        <w:t>The Bank shall provide information either on a project-by-project basis or in an aggregated format based on the overall portfolio by category of eligible projects. The report may be presented in a mixed format, depending on the requirements of confidentiality agreements, competitive considerations, the availability of information, or the large number of projects.</w:t>
      </w:r>
    </w:p>
    <w:p w14:paraId="617B7FC4" w14:textId="1D38F581" w:rsidR="00B25168" w:rsidRPr="00EA6BC0" w:rsidRDefault="00825370" w:rsidP="00EA6BC0">
      <w:pPr>
        <w:pStyle w:val="Default"/>
        <w:numPr>
          <w:ilvl w:val="0"/>
          <w:numId w:val="34"/>
        </w:numPr>
        <w:tabs>
          <w:tab w:val="left" w:pos="284"/>
          <w:tab w:val="left" w:pos="426"/>
        </w:tabs>
        <w:ind w:left="0" w:firstLine="0"/>
        <w:jc w:val="both"/>
        <w:rPr>
          <w:lang w:val="en-US"/>
        </w:rPr>
      </w:pPr>
      <w:r w:rsidRPr="002A60D6">
        <w:rPr>
          <w:lang w:val="en-US"/>
        </w:rPr>
        <w:t>Table 2 provides examples of potential impact indicators by category of “green” projects</w:t>
      </w:r>
      <w:r w:rsidR="00723021" w:rsidRPr="00EA6BC0">
        <w:rPr>
          <w:lang w:val="en-US"/>
        </w:rPr>
        <w:t>.</w:t>
      </w:r>
    </w:p>
    <w:p w14:paraId="5A37E640" w14:textId="77777777" w:rsidR="00825370" w:rsidRDefault="00825370" w:rsidP="00825370">
      <w:pPr>
        <w:tabs>
          <w:tab w:val="left" w:pos="426"/>
        </w:tabs>
        <w:contextualSpacing/>
        <w:jc w:val="both"/>
        <w:rPr>
          <w:rFonts w:eastAsiaTheme="minorHAnsi"/>
          <w:iCs/>
          <w:szCs w:val="22"/>
          <w:lang w:val="kk-KZ" w:eastAsia="en-US"/>
        </w:rPr>
      </w:pPr>
    </w:p>
    <w:p w14:paraId="617B7FC5" w14:textId="59511923" w:rsidR="00B25168" w:rsidRDefault="00825370">
      <w:pPr>
        <w:tabs>
          <w:tab w:val="left" w:pos="426"/>
        </w:tabs>
        <w:contextualSpacing/>
        <w:jc w:val="right"/>
        <w:rPr>
          <w:rFonts w:eastAsiaTheme="minorHAnsi"/>
          <w:i/>
          <w:szCs w:val="22"/>
          <w:lang w:val="kk-KZ" w:eastAsia="en-US"/>
        </w:rPr>
      </w:pPr>
      <w:r>
        <w:rPr>
          <w:rFonts w:eastAsiaTheme="minorHAnsi"/>
          <w:i/>
          <w:szCs w:val="22"/>
          <w:lang w:val="en-US" w:eastAsia="en-US"/>
        </w:rPr>
        <w:t>Table</w:t>
      </w:r>
      <w:r w:rsidR="00723021">
        <w:rPr>
          <w:rFonts w:eastAsiaTheme="minorHAnsi"/>
          <w:i/>
          <w:szCs w:val="22"/>
          <w:lang w:val="kk-KZ" w:eastAsia="en-US"/>
        </w:rPr>
        <w:t xml:space="preserve"> 2. </w:t>
      </w:r>
      <w:r>
        <w:rPr>
          <w:rFonts w:eastAsiaTheme="minorHAnsi"/>
          <w:i/>
          <w:szCs w:val="22"/>
          <w:lang w:val="en-US" w:eastAsia="en-US"/>
        </w:rPr>
        <w:t>E</w:t>
      </w:r>
      <w:r w:rsidRPr="00825370">
        <w:rPr>
          <w:rFonts w:eastAsiaTheme="minorHAnsi"/>
          <w:i/>
          <w:szCs w:val="22"/>
          <w:lang w:val="en-US" w:eastAsia="en-US"/>
        </w:rPr>
        <w:t>xamples of potential impact indicators</w:t>
      </w:r>
    </w:p>
    <w:tbl>
      <w:tblPr>
        <w:tblW w:w="10627" w:type="dxa"/>
        <w:tblLayout w:type="fixed"/>
        <w:tblLook w:val="04A0" w:firstRow="1" w:lastRow="0" w:firstColumn="1" w:lastColumn="0" w:noHBand="0" w:noVBand="1"/>
      </w:tblPr>
      <w:tblGrid>
        <w:gridCol w:w="3113"/>
        <w:gridCol w:w="7514"/>
      </w:tblGrid>
      <w:tr w:rsidR="00B25168" w14:paraId="617B7FC8" w14:textId="77777777">
        <w:trPr>
          <w:trHeight w:val="300"/>
        </w:trPr>
        <w:tc>
          <w:tcPr>
            <w:tcW w:w="3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B7FC6" w14:textId="1D0E75C1" w:rsidR="00B25168" w:rsidRPr="00CA350F" w:rsidRDefault="00CA350F" w:rsidP="00CA350F">
            <w:pPr>
              <w:jc w:val="center"/>
              <w:rPr>
                <w:color w:val="000000"/>
                <w:sz w:val="20"/>
                <w:szCs w:val="20"/>
                <w:lang w:val="en-US"/>
              </w:rPr>
            </w:pPr>
            <w:r>
              <w:rPr>
                <w:color w:val="000000"/>
                <w:sz w:val="20"/>
                <w:szCs w:val="20"/>
                <w:lang w:val="en-US"/>
              </w:rPr>
              <w:t xml:space="preserve">“Green” projects categories </w:t>
            </w:r>
          </w:p>
        </w:tc>
        <w:tc>
          <w:tcPr>
            <w:tcW w:w="7513" w:type="dxa"/>
            <w:tcBorders>
              <w:top w:val="single" w:sz="4" w:space="0" w:color="000000"/>
              <w:bottom w:val="single" w:sz="4" w:space="0" w:color="000000"/>
              <w:right w:val="single" w:sz="4" w:space="0" w:color="000000"/>
            </w:tcBorders>
            <w:shd w:val="clear" w:color="auto" w:fill="auto"/>
            <w:vAlign w:val="bottom"/>
          </w:tcPr>
          <w:p w14:paraId="617B7FC7" w14:textId="00CB9D0E" w:rsidR="00B25168" w:rsidRDefault="00CA350F">
            <w:pPr>
              <w:jc w:val="center"/>
              <w:rPr>
                <w:color w:val="000000"/>
                <w:sz w:val="20"/>
                <w:szCs w:val="20"/>
              </w:rPr>
            </w:pPr>
            <w:r w:rsidRPr="00CA350F">
              <w:rPr>
                <w:color w:val="000000"/>
                <w:sz w:val="20"/>
                <w:szCs w:val="20"/>
              </w:rPr>
              <w:t>Potential impact indicators</w:t>
            </w:r>
          </w:p>
        </w:tc>
      </w:tr>
      <w:tr w:rsidR="00B25168" w:rsidRPr="00645D1F" w14:paraId="617B7FCB" w14:textId="77777777">
        <w:trPr>
          <w:trHeight w:val="1380"/>
        </w:trPr>
        <w:tc>
          <w:tcPr>
            <w:tcW w:w="3113" w:type="dxa"/>
            <w:tcBorders>
              <w:left w:val="single" w:sz="4" w:space="0" w:color="000000"/>
              <w:bottom w:val="single" w:sz="4" w:space="0" w:color="000000"/>
              <w:right w:val="single" w:sz="4" w:space="0" w:color="000000"/>
            </w:tcBorders>
            <w:shd w:val="clear" w:color="auto" w:fill="auto"/>
          </w:tcPr>
          <w:p w14:paraId="617B7FC9" w14:textId="7DED4BA4" w:rsidR="00B25168" w:rsidRDefault="00CA350F" w:rsidP="00CA350F">
            <w:pPr>
              <w:ind w:firstLine="200"/>
              <w:rPr>
                <w:color w:val="000000"/>
                <w:sz w:val="20"/>
                <w:szCs w:val="20"/>
              </w:rPr>
            </w:pPr>
            <w:r w:rsidRPr="00CA350F">
              <w:rPr>
                <w:color w:val="000000"/>
                <w:sz w:val="20"/>
                <w:szCs w:val="20"/>
              </w:rPr>
              <w:t xml:space="preserve">Renewable </w:t>
            </w:r>
            <w:r>
              <w:rPr>
                <w:color w:val="000000"/>
                <w:sz w:val="20"/>
                <w:szCs w:val="20"/>
                <w:lang w:val="en-US"/>
              </w:rPr>
              <w:t>E</w:t>
            </w:r>
            <w:r w:rsidRPr="00CA350F">
              <w:rPr>
                <w:color w:val="000000"/>
                <w:sz w:val="20"/>
                <w:szCs w:val="20"/>
              </w:rPr>
              <w:t>nergy</w:t>
            </w:r>
          </w:p>
        </w:tc>
        <w:tc>
          <w:tcPr>
            <w:tcW w:w="7513" w:type="dxa"/>
            <w:tcBorders>
              <w:bottom w:val="single" w:sz="4" w:space="0" w:color="000000"/>
              <w:right w:val="single" w:sz="4" w:space="0" w:color="000000"/>
            </w:tcBorders>
            <w:shd w:val="clear" w:color="auto" w:fill="auto"/>
          </w:tcPr>
          <w:p w14:paraId="3F9190E1" w14:textId="5B5F84B3" w:rsidR="00825370" w:rsidRPr="00254939" w:rsidRDefault="00825370" w:rsidP="00825370">
            <w:pPr>
              <w:pStyle w:val="ad"/>
              <w:numPr>
                <w:ilvl w:val="0"/>
                <w:numId w:val="26"/>
              </w:numPr>
              <w:rPr>
                <w:sz w:val="20"/>
                <w:szCs w:val="20"/>
                <w:lang w:val="en-US"/>
              </w:rPr>
            </w:pPr>
            <w:r w:rsidRPr="00254939">
              <w:rPr>
                <w:sz w:val="20"/>
                <w:szCs w:val="20"/>
                <w:lang w:val="en-US"/>
              </w:rPr>
              <w:t>Reduction/avoidance of GHG emissions in tons of CO2 equivalent per year</w:t>
            </w:r>
          </w:p>
          <w:p w14:paraId="4E6FE8FF" w14:textId="77777777" w:rsidR="00825370" w:rsidRPr="00254939" w:rsidRDefault="00825370" w:rsidP="00825370">
            <w:pPr>
              <w:pStyle w:val="ad"/>
              <w:numPr>
                <w:ilvl w:val="0"/>
                <w:numId w:val="26"/>
              </w:numPr>
              <w:rPr>
                <w:sz w:val="20"/>
                <w:szCs w:val="20"/>
                <w:lang w:val="en-US"/>
              </w:rPr>
            </w:pPr>
            <w:r w:rsidRPr="00254939">
              <w:rPr>
                <w:sz w:val="20"/>
                <w:szCs w:val="20"/>
                <w:lang w:val="en-US"/>
              </w:rPr>
              <w:t>Energy production from renewable sources in MWh/GWh (electricity) and GJ/TJ (other energy types) per year</w:t>
            </w:r>
          </w:p>
          <w:p w14:paraId="617B7FCA" w14:textId="364A4FA3" w:rsidR="00B25168" w:rsidRPr="00825370" w:rsidRDefault="00825370" w:rsidP="00825370">
            <w:pPr>
              <w:pStyle w:val="ad"/>
              <w:numPr>
                <w:ilvl w:val="0"/>
                <w:numId w:val="26"/>
              </w:numPr>
              <w:rPr>
                <w:color w:val="000000"/>
                <w:sz w:val="20"/>
                <w:szCs w:val="20"/>
                <w:lang w:val="en-US"/>
              </w:rPr>
            </w:pPr>
            <w:r w:rsidRPr="00825370">
              <w:rPr>
                <w:sz w:val="20"/>
                <w:szCs w:val="20"/>
                <w:lang w:val="en-US"/>
              </w:rPr>
              <w:t>Additional capacity of newly built or rebuilt renewable energy plants in MW</w:t>
            </w:r>
          </w:p>
        </w:tc>
      </w:tr>
      <w:tr w:rsidR="00B25168" w:rsidRPr="00645D1F" w14:paraId="617B7FCE" w14:textId="77777777">
        <w:trPr>
          <w:trHeight w:val="300"/>
        </w:trPr>
        <w:tc>
          <w:tcPr>
            <w:tcW w:w="3113" w:type="dxa"/>
            <w:tcBorders>
              <w:left w:val="single" w:sz="4" w:space="0" w:color="000000"/>
              <w:bottom w:val="single" w:sz="4" w:space="0" w:color="000000"/>
              <w:right w:val="single" w:sz="4" w:space="0" w:color="000000"/>
            </w:tcBorders>
            <w:shd w:val="clear" w:color="auto" w:fill="auto"/>
          </w:tcPr>
          <w:p w14:paraId="617B7FCC" w14:textId="04CD682B" w:rsidR="00B25168" w:rsidRDefault="00CA350F">
            <w:pPr>
              <w:ind w:firstLine="200"/>
              <w:rPr>
                <w:color w:val="000000"/>
                <w:sz w:val="20"/>
                <w:szCs w:val="20"/>
              </w:rPr>
            </w:pPr>
            <w:r>
              <w:rPr>
                <w:color w:val="000000"/>
                <w:sz w:val="20"/>
                <w:szCs w:val="20"/>
              </w:rPr>
              <w:t xml:space="preserve">Energy </w:t>
            </w:r>
            <w:r>
              <w:rPr>
                <w:color w:val="000000"/>
                <w:sz w:val="20"/>
                <w:szCs w:val="20"/>
                <w:lang w:val="en-US"/>
              </w:rPr>
              <w:t>E</w:t>
            </w:r>
            <w:r w:rsidRPr="00CA350F">
              <w:rPr>
                <w:color w:val="000000"/>
                <w:sz w:val="20"/>
                <w:szCs w:val="20"/>
              </w:rPr>
              <w:t>fficiency</w:t>
            </w:r>
          </w:p>
        </w:tc>
        <w:tc>
          <w:tcPr>
            <w:tcW w:w="7513" w:type="dxa"/>
            <w:tcBorders>
              <w:bottom w:val="single" w:sz="4" w:space="0" w:color="000000"/>
              <w:right w:val="single" w:sz="4" w:space="0" w:color="000000"/>
            </w:tcBorders>
            <w:shd w:val="clear" w:color="auto" w:fill="auto"/>
          </w:tcPr>
          <w:p w14:paraId="10300BC5" w14:textId="77777777" w:rsidR="00825370" w:rsidRPr="00825370" w:rsidRDefault="00723021" w:rsidP="00825370">
            <w:pPr>
              <w:rPr>
                <w:sz w:val="20"/>
                <w:szCs w:val="20"/>
                <w:lang w:val="en-US"/>
              </w:rPr>
            </w:pPr>
            <w:r w:rsidRPr="00825370">
              <w:rPr>
                <w:color w:val="000000"/>
                <w:sz w:val="20"/>
                <w:szCs w:val="20"/>
                <w:lang w:val="en-US"/>
              </w:rPr>
              <w:t xml:space="preserve">• </w:t>
            </w:r>
            <w:r w:rsidR="00825370" w:rsidRPr="00825370">
              <w:rPr>
                <w:sz w:val="20"/>
                <w:szCs w:val="20"/>
                <w:lang w:val="en-US"/>
              </w:rPr>
              <w:t>Reduction/avoidance of greenhouse gas (GHG) emissions in tons of CO2 equivalent per year</w:t>
            </w:r>
          </w:p>
          <w:p w14:paraId="617B7FCD" w14:textId="56B59C0A" w:rsidR="00B25168" w:rsidRPr="00825370" w:rsidRDefault="00B25168">
            <w:pPr>
              <w:rPr>
                <w:color w:val="000000"/>
                <w:sz w:val="20"/>
                <w:szCs w:val="20"/>
                <w:lang w:val="en-US"/>
              </w:rPr>
            </w:pPr>
          </w:p>
        </w:tc>
      </w:tr>
      <w:tr w:rsidR="00B25168" w:rsidRPr="00645D1F" w14:paraId="617B7FD1" w14:textId="77777777">
        <w:trPr>
          <w:trHeight w:val="1860"/>
        </w:trPr>
        <w:tc>
          <w:tcPr>
            <w:tcW w:w="3113" w:type="dxa"/>
            <w:tcBorders>
              <w:left w:val="single" w:sz="4" w:space="0" w:color="000000"/>
              <w:bottom w:val="single" w:sz="4" w:space="0" w:color="000000"/>
              <w:right w:val="single" w:sz="4" w:space="0" w:color="000000"/>
            </w:tcBorders>
            <w:shd w:val="clear" w:color="auto" w:fill="auto"/>
          </w:tcPr>
          <w:p w14:paraId="617B7FCF" w14:textId="79D932D6" w:rsidR="00B25168" w:rsidRDefault="00CA350F" w:rsidP="00CA350F">
            <w:pPr>
              <w:ind w:firstLine="200"/>
              <w:rPr>
                <w:color w:val="000000"/>
                <w:sz w:val="20"/>
                <w:szCs w:val="20"/>
              </w:rPr>
            </w:pPr>
            <w:r w:rsidRPr="00CA350F">
              <w:rPr>
                <w:color w:val="000000"/>
                <w:sz w:val="20"/>
                <w:szCs w:val="20"/>
              </w:rPr>
              <w:t xml:space="preserve">Pollution Prevention </w:t>
            </w:r>
            <w:r>
              <w:rPr>
                <w:color w:val="000000"/>
                <w:sz w:val="20"/>
                <w:szCs w:val="20"/>
                <w:lang w:val="en-US"/>
              </w:rPr>
              <w:t>a</w:t>
            </w:r>
            <w:r w:rsidRPr="00CA350F">
              <w:rPr>
                <w:color w:val="000000"/>
                <w:sz w:val="20"/>
                <w:szCs w:val="20"/>
              </w:rPr>
              <w:t>nd Control</w:t>
            </w:r>
          </w:p>
        </w:tc>
        <w:tc>
          <w:tcPr>
            <w:tcW w:w="7513" w:type="dxa"/>
            <w:tcBorders>
              <w:bottom w:val="single" w:sz="4" w:space="0" w:color="000000"/>
              <w:right w:val="single" w:sz="4" w:space="0" w:color="000000"/>
            </w:tcBorders>
            <w:shd w:val="clear" w:color="auto" w:fill="auto"/>
          </w:tcPr>
          <w:p w14:paraId="31CECEEF" w14:textId="77777777" w:rsidR="00825370" w:rsidRPr="00254939" w:rsidRDefault="00825370" w:rsidP="00825370">
            <w:pPr>
              <w:pStyle w:val="aff3"/>
              <w:rPr>
                <w:sz w:val="20"/>
                <w:szCs w:val="20"/>
                <w:lang w:val="en-US"/>
              </w:rPr>
            </w:pPr>
            <w:r w:rsidRPr="00254939">
              <w:rPr>
                <w:rFonts w:hAnsi="Symbol"/>
                <w:sz w:val="20"/>
                <w:szCs w:val="20"/>
              </w:rPr>
              <w:t></w:t>
            </w:r>
            <w:r w:rsidRPr="00254939">
              <w:rPr>
                <w:sz w:val="20"/>
                <w:szCs w:val="20"/>
                <w:lang w:val="en-US"/>
              </w:rPr>
              <w:t xml:space="preserve">  Volume of waste reduced, minimized, reused, or recycled before and after the project, expressed as a percentage of total waste and/or in absolute terms in tons per year.</w:t>
            </w:r>
          </w:p>
          <w:p w14:paraId="65E5745F" w14:textId="1F5D9F1A" w:rsidR="00825370" w:rsidRPr="00254939" w:rsidRDefault="00825370" w:rsidP="00825370">
            <w:pPr>
              <w:pStyle w:val="aff3"/>
              <w:rPr>
                <w:sz w:val="20"/>
                <w:szCs w:val="20"/>
                <w:lang w:val="en-US"/>
              </w:rPr>
            </w:pPr>
            <w:r w:rsidRPr="00254939">
              <w:rPr>
                <w:rFonts w:hAnsi="Symbol"/>
                <w:sz w:val="20"/>
                <w:szCs w:val="20"/>
              </w:rPr>
              <w:t></w:t>
            </w:r>
            <w:r w:rsidRPr="00254939">
              <w:rPr>
                <w:sz w:val="20"/>
                <w:szCs w:val="20"/>
                <w:lang w:val="en-US"/>
              </w:rPr>
              <w:t xml:space="preserve">  Reduction in air pollution levels: particulate matter (PM), sulfur oxides (SOx), nitrogen oxides (NOx), carbon monoxide (CO), and non-methane vo</w:t>
            </w:r>
            <w:r w:rsidR="00A55DE6">
              <w:rPr>
                <w:sz w:val="20"/>
                <w:szCs w:val="20"/>
                <w:lang w:val="en-US"/>
              </w:rPr>
              <w:t>latile organic compounds (NMVOC</w:t>
            </w:r>
            <w:r w:rsidRPr="00254939">
              <w:rPr>
                <w:sz w:val="20"/>
                <w:szCs w:val="20"/>
                <w:lang w:val="en-US"/>
              </w:rPr>
              <w:t>).</w:t>
            </w:r>
          </w:p>
          <w:p w14:paraId="617B7FD0" w14:textId="72BE3E47" w:rsidR="00B25168" w:rsidRPr="00825370" w:rsidRDefault="00825370" w:rsidP="00825370">
            <w:pPr>
              <w:rPr>
                <w:color w:val="000000"/>
                <w:sz w:val="20"/>
                <w:szCs w:val="20"/>
                <w:lang w:val="en-US"/>
              </w:rPr>
            </w:pPr>
            <w:r w:rsidRPr="00254939">
              <w:rPr>
                <w:rFonts w:hAnsi="Symbol"/>
                <w:sz w:val="20"/>
                <w:szCs w:val="20"/>
              </w:rPr>
              <w:t></w:t>
            </w:r>
            <w:r w:rsidRPr="00254939">
              <w:rPr>
                <w:sz w:val="20"/>
                <w:szCs w:val="20"/>
                <w:lang w:val="en-US"/>
              </w:rPr>
              <w:t xml:space="preserve">  Reduction of local pollutants in air, soil, and water, expressed in absolute terms or as a percentage per year</w:t>
            </w:r>
            <w:r>
              <w:rPr>
                <w:sz w:val="20"/>
                <w:szCs w:val="20"/>
                <w:lang w:val="en-US"/>
              </w:rPr>
              <w:t>.</w:t>
            </w:r>
          </w:p>
        </w:tc>
      </w:tr>
      <w:tr w:rsidR="00B25168" w:rsidRPr="00645D1F" w14:paraId="617B7FD4" w14:textId="77777777">
        <w:trPr>
          <w:trHeight w:val="1425"/>
        </w:trPr>
        <w:tc>
          <w:tcPr>
            <w:tcW w:w="3113" w:type="dxa"/>
            <w:tcBorders>
              <w:left w:val="single" w:sz="4" w:space="0" w:color="000000"/>
              <w:bottom w:val="single" w:sz="4" w:space="0" w:color="000000"/>
              <w:right w:val="single" w:sz="4" w:space="0" w:color="000000"/>
            </w:tcBorders>
            <w:shd w:val="clear" w:color="auto" w:fill="auto"/>
          </w:tcPr>
          <w:p w14:paraId="41C27F8C" w14:textId="77777777" w:rsidR="00CA350F" w:rsidRPr="00CA350F" w:rsidRDefault="00CA350F" w:rsidP="00CA350F">
            <w:pPr>
              <w:rPr>
                <w:sz w:val="20"/>
                <w:szCs w:val="20"/>
                <w:lang w:val="en-US"/>
              </w:rPr>
            </w:pPr>
            <w:r w:rsidRPr="00CA350F">
              <w:rPr>
                <w:sz w:val="20"/>
                <w:szCs w:val="20"/>
                <w:lang w:val="en-US"/>
              </w:rPr>
              <w:t xml:space="preserve">Environmentally Sustainable Management </w:t>
            </w:r>
            <w:r>
              <w:rPr>
                <w:sz w:val="20"/>
                <w:szCs w:val="20"/>
                <w:lang w:val="en-US"/>
              </w:rPr>
              <w:t>o</w:t>
            </w:r>
            <w:r w:rsidRPr="00CA350F">
              <w:rPr>
                <w:sz w:val="20"/>
                <w:szCs w:val="20"/>
                <w:lang w:val="en-US"/>
              </w:rPr>
              <w:t xml:space="preserve">f Natural Resources </w:t>
            </w:r>
            <w:r>
              <w:rPr>
                <w:sz w:val="20"/>
                <w:szCs w:val="20"/>
                <w:lang w:val="en-US"/>
              </w:rPr>
              <w:t>a</w:t>
            </w:r>
            <w:r w:rsidRPr="00CA350F">
              <w:rPr>
                <w:sz w:val="20"/>
                <w:szCs w:val="20"/>
                <w:lang w:val="en-US"/>
              </w:rPr>
              <w:t>nd Land Use</w:t>
            </w:r>
          </w:p>
          <w:p w14:paraId="617B7FD2" w14:textId="1026F645" w:rsidR="00B25168" w:rsidRPr="00CA350F" w:rsidRDefault="00B25168">
            <w:pPr>
              <w:ind w:firstLine="200"/>
              <w:rPr>
                <w:color w:val="000000"/>
                <w:sz w:val="20"/>
                <w:szCs w:val="20"/>
                <w:lang w:val="en-US"/>
              </w:rPr>
            </w:pPr>
          </w:p>
        </w:tc>
        <w:tc>
          <w:tcPr>
            <w:tcW w:w="7513" w:type="dxa"/>
            <w:vMerge w:val="restart"/>
            <w:tcBorders>
              <w:left w:val="single" w:sz="4" w:space="0" w:color="000000"/>
              <w:bottom w:val="single" w:sz="4" w:space="0" w:color="000000"/>
              <w:right w:val="single" w:sz="4" w:space="0" w:color="000000"/>
            </w:tcBorders>
            <w:shd w:val="clear" w:color="auto" w:fill="auto"/>
          </w:tcPr>
          <w:p w14:paraId="5D89C85D" w14:textId="77777777" w:rsidR="00825370" w:rsidRPr="00FE2696" w:rsidRDefault="00825370" w:rsidP="00825370">
            <w:pPr>
              <w:pStyle w:val="aff3"/>
              <w:numPr>
                <w:ilvl w:val="0"/>
                <w:numId w:val="31"/>
              </w:numPr>
              <w:ind w:left="0" w:hanging="107"/>
              <w:rPr>
                <w:color w:val="000000"/>
                <w:sz w:val="20"/>
                <w:szCs w:val="20"/>
                <w:lang w:val="en-US"/>
              </w:rPr>
            </w:pPr>
            <w:r w:rsidRPr="00FE2696">
              <w:rPr>
                <w:color w:val="000000"/>
                <w:sz w:val="20"/>
                <w:szCs w:val="20"/>
                <w:lang w:val="en-US"/>
              </w:rPr>
              <w:t>Reduction/avoidance of greenhouse gas (GHG) emissions in tons of CO2 equivalent per year and/or energy intensity (e.g., GJ per unit of product)</w:t>
            </w:r>
          </w:p>
          <w:p w14:paraId="09D8839D" w14:textId="3C512FDC" w:rsidR="00825370" w:rsidRPr="00FE2696" w:rsidRDefault="00825370" w:rsidP="00825370">
            <w:pPr>
              <w:pStyle w:val="aff3"/>
              <w:numPr>
                <w:ilvl w:val="0"/>
                <w:numId w:val="31"/>
              </w:numPr>
              <w:ind w:left="35" w:hanging="142"/>
              <w:rPr>
                <w:color w:val="000000"/>
                <w:sz w:val="20"/>
                <w:szCs w:val="20"/>
                <w:lang w:val="en-US"/>
              </w:rPr>
            </w:pPr>
            <w:r w:rsidRPr="00FE2696">
              <w:rPr>
                <w:color w:val="000000"/>
                <w:sz w:val="20"/>
                <w:szCs w:val="20"/>
                <w:lang w:val="en-US"/>
              </w:rPr>
              <w:t>Water savings (m³ per year)</w:t>
            </w:r>
          </w:p>
          <w:p w14:paraId="617B7FD3" w14:textId="00993E67" w:rsidR="00B25168" w:rsidRPr="00825370" w:rsidRDefault="00825370" w:rsidP="00825370">
            <w:pPr>
              <w:pStyle w:val="ad"/>
              <w:numPr>
                <w:ilvl w:val="0"/>
                <w:numId w:val="31"/>
              </w:numPr>
              <w:ind w:left="35" w:hanging="141"/>
              <w:rPr>
                <w:color w:val="000000"/>
                <w:sz w:val="20"/>
                <w:szCs w:val="20"/>
                <w:lang w:val="en-US"/>
              </w:rPr>
            </w:pPr>
            <w:r w:rsidRPr="00FE2696">
              <w:rPr>
                <w:color w:val="000000"/>
                <w:sz w:val="20"/>
                <w:szCs w:val="20"/>
                <w:lang w:val="en-US"/>
              </w:rPr>
              <w:t>Area of created or restored forest plantations / natural landscapes / degraded ecosystems</w:t>
            </w:r>
          </w:p>
        </w:tc>
      </w:tr>
      <w:tr w:rsidR="00B25168" w:rsidRPr="00645D1F" w14:paraId="617B7FD7" w14:textId="77777777">
        <w:trPr>
          <w:trHeight w:val="600"/>
        </w:trPr>
        <w:tc>
          <w:tcPr>
            <w:tcW w:w="3113" w:type="dxa"/>
            <w:tcBorders>
              <w:left w:val="single" w:sz="4" w:space="0" w:color="000000"/>
              <w:bottom w:val="single" w:sz="4" w:space="0" w:color="000000"/>
              <w:right w:val="single" w:sz="4" w:space="0" w:color="000000"/>
            </w:tcBorders>
            <w:shd w:val="clear" w:color="auto" w:fill="auto"/>
          </w:tcPr>
          <w:p w14:paraId="617B7FD5" w14:textId="77C6A41C" w:rsidR="00B25168" w:rsidRPr="00CA350F" w:rsidRDefault="00CA350F">
            <w:pPr>
              <w:ind w:firstLine="200"/>
              <w:rPr>
                <w:color w:val="000000"/>
                <w:sz w:val="20"/>
                <w:szCs w:val="20"/>
                <w:lang w:val="en-US"/>
              </w:rPr>
            </w:pPr>
            <w:r w:rsidRPr="00CA350F">
              <w:rPr>
                <w:color w:val="000000"/>
                <w:sz w:val="20"/>
                <w:szCs w:val="20"/>
                <w:lang w:val="en-US"/>
              </w:rPr>
              <w:t>Conservation of Terrestrial and Aquatic Biodiversity</w:t>
            </w:r>
          </w:p>
        </w:tc>
        <w:tc>
          <w:tcPr>
            <w:tcW w:w="7513" w:type="dxa"/>
            <w:vMerge/>
            <w:tcBorders>
              <w:left w:val="single" w:sz="4" w:space="0" w:color="000000"/>
              <w:bottom w:val="single" w:sz="4" w:space="0" w:color="000000"/>
              <w:right w:val="single" w:sz="4" w:space="0" w:color="000000"/>
            </w:tcBorders>
            <w:vAlign w:val="center"/>
          </w:tcPr>
          <w:p w14:paraId="617B7FD6" w14:textId="77777777" w:rsidR="00B25168" w:rsidRPr="00CA350F" w:rsidRDefault="00B25168">
            <w:pPr>
              <w:rPr>
                <w:color w:val="000000"/>
                <w:sz w:val="20"/>
                <w:szCs w:val="20"/>
                <w:lang w:val="en-US"/>
              </w:rPr>
            </w:pPr>
          </w:p>
        </w:tc>
      </w:tr>
      <w:tr w:rsidR="00B25168" w:rsidRPr="00645D1F" w14:paraId="617B7FDA" w14:textId="77777777">
        <w:trPr>
          <w:trHeight w:val="930"/>
        </w:trPr>
        <w:tc>
          <w:tcPr>
            <w:tcW w:w="3113" w:type="dxa"/>
            <w:tcBorders>
              <w:left w:val="single" w:sz="4" w:space="0" w:color="000000"/>
              <w:bottom w:val="single" w:sz="4" w:space="0" w:color="000000"/>
              <w:right w:val="single" w:sz="4" w:space="0" w:color="000000"/>
            </w:tcBorders>
            <w:shd w:val="clear" w:color="auto" w:fill="auto"/>
          </w:tcPr>
          <w:p w14:paraId="617B7FD8" w14:textId="0A2C88C1" w:rsidR="00B25168" w:rsidRPr="00CA350F" w:rsidRDefault="00CA350F">
            <w:pPr>
              <w:ind w:firstLine="200"/>
              <w:rPr>
                <w:color w:val="000000"/>
                <w:sz w:val="20"/>
                <w:szCs w:val="20"/>
                <w:lang w:val="en-US"/>
              </w:rPr>
            </w:pPr>
            <w:r>
              <w:rPr>
                <w:color w:val="000000"/>
                <w:sz w:val="20"/>
                <w:szCs w:val="20"/>
                <w:lang w:val="en-US"/>
              </w:rPr>
              <w:t xml:space="preserve">Green Transport </w:t>
            </w:r>
          </w:p>
        </w:tc>
        <w:tc>
          <w:tcPr>
            <w:tcW w:w="7513" w:type="dxa"/>
            <w:tcBorders>
              <w:bottom w:val="single" w:sz="4" w:space="0" w:color="000000"/>
              <w:right w:val="single" w:sz="4" w:space="0" w:color="000000"/>
            </w:tcBorders>
            <w:shd w:val="clear" w:color="auto" w:fill="auto"/>
          </w:tcPr>
          <w:p w14:paraId="3D8792B0" w14:textId="77777777" w:rsidR="00A55DE6" w:rsidRPr="00254939" w:rsidRDefault="00A55DE6" w:rsidP="00A55DE6">
            <w:pPr>
              <w:pStyle w:val="aff3"/>
              <w:rPr>
                <w:sz w:val="20"/>
                <w:szCs w:val="20"/>
                <w:lang w:val="en-US"/>
              </w:rPr>
            </w:pPr>
            <w:r w:rsidRPr="00254939">
              <w:rPr>
                <w:rFonts w:hAnsi="Symbol"/>
                <w:sz w:val="20"/>
                <w:szCs w:val="20"/>
              </w:rPr>
              <w:t></w:t>
            </w:r>
            <w:r w:rsidRPr="00254939">
              <w:rPr>
                <w:sz w:val="20"/>
                <w:szCs w:val="20"/>
                <w:lang w:val="en-US"/>
              </w:rPr>
              <w:t xml:space="preserve">  Reduction/avoidance of greenhouse gas (GHG) emissions in tons of CO2 equivalent per year</w:t>
            </w:r>
          </w:p>
          <w:p w14:paraId="15134BDF" w14:textId="77777777" w:rsidR="00A55DE6" w:rsidRPr="00254939" w:rsidRDefault="00A55DE6" w:rsidP="00A55DE6">
            <w:pPr>
              <w:pStyle w:val="aff3"/>
              <w:rPr>
                <w:sz w:val="20"/>
                <w:szCs w:val="20"/>
                <w:lang w:val="en-US"/>
              </w:rPr>
            </w:pPr>
            <w:r w:rsidRPr="00254939">
              <w:rPr>
                <w:rFonts w:hAnsi="Symbol"/>
                <w:sz w:val="20"/>
                <w:szCs w:val="20"/>
              </w:rPr>
              <w:t></w:t>
            </w:r>
            <w:r w:rsidRPr="00254939">
              <w:rPr>
                <w:sz w:val="20"/>
                <w:szCs w:val="20"/>
                <w:lang w:val="en-US"/>
              </w:rPr>
              <w:t xml:space="preserve">  Reduction in air pollutant levels: particulate matter (PM), sulfur oxides (SOx), nitrogen oxides (NOx), carbon monoxide (CO), and non-methane vo</w:t>
            </w:r>
            <w:r>
              <w:rPr>
                <w:sz w:val="20"/>
                <w:szCs w:val="20"/>
                <w:lang w:val="en-US"/>
              </w:rPr>
              <w:t>latile organic compounds (NMVOC</w:t>
            </w:r>
            <w:r w:rsidRPr="00254939">
              <w:rPr>
                <w:sz w:val="20"/>
                <w:szCs w:val="20"/>
                <w:lang w:val="en-US"/>
              </w:rPr>
              <w:t>)</w:t>
            </w:r>
          </w:p>
          <w:p w14:paraId="617B7FD9" w14:textId="114C7740" w:rsidR="00B25168" w:rsidRPr="00A55DE6" w:rsidRDefault="00B25168">
            <w:pPr>
              <w:rPr>
                <w:color w:val="000000"/>
                <w:sz w:val="20"/>
                <w:szCs w:val="20"/>
                <w:lang w:val="en-US"/>
              </w:rPr>
            </w:pPr>
          </w:p>
        </w:tc>
      </w:tr>
      <w:tr w:rsidR="00B25168" w:rsidRPr="00645D1F" w14:paraId="617B7FDD" w14:textId="77777777">
        <w:trPr>
          <w:trHeight w:val="1275"/>
        </w:trPr>
        <w:tc>
          <w:tcPr>
            <w:tcW w:w="3113" w:type="dxa"/>
            <w:tcBorders>
              <w:left w:val="single" w:sz="4" w:space="0" w:color="000000"/>
              <w:bottom w:val="single" w:sz="4" w:space="0" w:color="000000"/>
              <w:right w:val="single" w:sz="4" w:space="0" w:color="000000"/>
            </w:tcBorders>
            <w:shd w:val="clear" w:color="auto" w:fill="auto"/>
          </w:tcPr>
          <w:p w14:paraId="179140E8" w14:textId="77777777" w:rsidR="00CA350F" w:rsidRPr="00DE3186" w:rsidRDefault="00CA350F" w:rsidP="00CA350F">
            <w:pPr>
              <w:rPr>
                <w:sz w:val="20"/>
                <w:szCs w:val="20"/>
                <w:lang w:val="en-US"/>
              </w:rPr>
            </w:pPr>
            <w:r w:rsidRPr="00DE3186">
              <w:rPr>
                <w:sz w:val="20"/>
                <w:szCs w:val="20"/>
                <w:lang w:val="en-US"/>
              </w:rPr>
              <w:lastRenderedPageBreak/>
              <w:t xml:space="preserve">Sustainable Management </w:t>
            </w:r>
            <w:r>
              <w:rPr>
                <w:sz w:val="20"/>
                <w:szCs w:val="20"/>
                <w:lang w:val="en-US"/>
              </w:rPr>
              <w:t>o</w:t>
            </w:r>
            <w:r w:rsidRPr="00DE3186">
              <w:rPr>
                <w:sz w:val="20"/>
                <w:szCs w:val="20"/>
                <w:lang w:val="en-US"/>
              </w:rPr>
              <w:t xml:space="preserve">f Water Resources </w:t>
            </w:r>
            <w:r>
              <w:rPr>
                <w:sz w:val="20"/>
                <w:szCs w:val="20"/>
                <w:lang w:val="en-US"/>
              </w:rPr>
              <w:t>a</w:t>
            </w:r>
            <w:r w:rsidRPr="00DE3186">
              <w:rPr>
                <w:sz w:val="20"/>
                <w:szCs w:val="20"/>
                <w:lang w:val="en-US"/>
              </w:rPr>
              <w:t>nd Wastewater</w:t>
            </w:r>
          </w:p>
          <w:p w14:paraId="617B7FDB" w14:textId="7D1B3370" w:rsidR="00B25168" w:rsidRPr="00CA350F" w:rsidRDefault="00B25168">
            <w:pPr>
              <w:ind w:firstLine="200"/>
              <w:rPr>
                <w:color w:val="000000"/>
                <w:sz w:val="20"/>
                <w:szCs w:val="20"/>
                <w:lang w:val="en-US"/>
              </w:rPr>
            </w:pPr>
          </w:p>
        </w:tc>
        <w:tc>
          <w:tcPr>
            <w:tcW w:w="7513" w:type="dxa"/>
            <w:tcBorders>
              <w:bottom w:val="single" w:sz="4" w:space="0" w:color="000000"/>
              <w:right w:val="single" w:sz="4" w:space="0" w:color="000000"/>
            </w:tcBorders>
            <w:shd w:val="clear" w:color="auto" w:fill="auto"/>
          </w:tcPr>
          <w:p w14:paraId="295E1222" w14:textId="77777777" w:rsidR="00A55DE6" w:rsidRPr="00254939" w:rsidRDefault="00A55DE6" w:rsidP="00A55DE6">
            <w:pPr>
              <w:pStyle w:val="aff3"/>
              <w:rPr>
                <w:sz w:val="20"/>
                <w:szCs w:val="20"/>
                <w:lang w:val="en-US"/>
              </w:rPr>
            </w:pPr>
            <w:r w:rsidRPr="00254939">
              <w:rPr>
                <w:rFonts w:hAnsi="Symbol"/>
                <w:sz w:val="20"/>
                <w:szCs w:val="20"/>
              </w:rPr>
              <w:t></w:t>
            </w:r>
            <w:r w:rsidRPr="00254939">
              <w:rPr>
                <w:sz w:val="20"/>
                <w:szCs w:val="20"/>
                <w:lang w:val="en-US"/>
              </w:rPr>
              <w:t xml:space="preserve">  Trend in (gross) water consumption before and after project implementation in m³/year, and percentage reduction in water consumption</w:t>
            </w:r>
          </w:p>
          <w:p w14:paraId="617B7FDC" w14:textId="18EA675D" w:rsidR="00B25168" w:rsidRPr="00A55DE6" w:rsidRDefault="00A55DE6" w:rsidP="00A55DE6">
            <w:pPr>
              <w:rPr>
                <w:color w:val="000000"/>
                <w:sz w:val="20"/>
                <w:szCs w:val="20"/>
                <w:lang w:val="en-US"/>
              </w:rPr>
            </w:pPr>
            <w:r w:rsidRPr="00254939">
              <w:rPr>
                <w:rFonts w:hAnsi="Symbol"/>
                <w:sz w:val="20"/>
                <w:szCs w:val="20"/>
              </w:rPr>
              <w:t></w:t>
            </w:r>
            <w:r w:rsidRPr="00254939">
              <w:rPr>
                <w:sz w:val="20"/>
                <w:szCs w:val="20"/>
                <w:lang w:val="en-US"/>
              </w:rPr>
              <w:t xml:space="preserve">  Gross volume of wastewater treated, reused, or avoided before and after project implementation in m³ and as a percentage per year</w:t>
            </w:r>
          </w:p>
        </w:tc>
      </w:tr>
      <w:tr w:rsidR="00B25168" w:rsidRPr="00645D1F" w14:paraId="617B7FE0" w14:textId="77777777">
        <w:trPr>
          <w:trHeight w:val="1020"/>
        </w:trPr>
        <w:tc>
          <w:tcPr>
            <w:tcW w:w="3113" w:type="dxa"/>
            <w:tcBorders>
              <w:left w:val="single" w:sz="4" w:space="0" w:color="000000"/>
              <w:bottom w:val="single" w:sz="4" w:space="0" w:color="000000"/>
              <w:right w:val="single" w:sz="4" w:space="0" w:color="000000"/>
            </w:tcBorders>
            <w:shd w:val="clear" w:color="auto" w:fill="auto"/>
          </w:tcPr>
          <w:p w14:paraId="0D42ED2B" w14:textId="77777777" w:rsidR="00CA350F" w:rsidRDefault="00CA350F" w:rsidP="00CA350F">
            <w:pPr>
              <w:rPr>
                <w:sz w:val="20"/>
                <w:szCs w:val="20"/>
              </w:rPr>
            </w:pPr>
            <w:r w:rsidRPr="00DE3186">
              <w:rPr>
                <w:sz w:val="20"/>
                <w:szCs w:val="20"/>
              </w:rPr>
              <w:t>Climate Change Adaptation</w:t>
            </w:r>
          </w:p>
          <w:p w14:paraId="617B7FDE" w14:textId="793F523D" w:rsidR="00B25168" w:rsidRDefault="00B25168">
            <w:pPr>
              <w:ind w:firstLine="200"/>
              <w:rPr>
                <w:color w:val="000000"/>
                <w:sz w:val="20"/>
                <w:szCs w:val="20"/>
              </w:rPr>
            </w:pPr>
          </w:p>
        </w:tc>
        <w:tc>
          <w:tcPr>
            <w:tcW w:w="7513" w:type="dxa"/>
            <w:tcBorders>
              <w:bottom w:val="single" w:sz="4" w:space="0" w:color="000000"/>
              <w:right w:val="single" w:sz="4" w:space="0" w:color="000000"/>
            </w:tcBorders>
            <w:shd w:val="clear" w:color="auto" w:fill="auto"/>
          </w:tcPr>
          <w:p w14:paraId="0BD99E4C" w14:textId="77777777" w:rsidR="00A55DE6" w:rsidRPr="00254939" w:rsidRDefault="00A55DE6" w:rsidP="00A55DE6">
            <w:pPr>
              <w:pStyle w:val="aff3"/>
              <w:rPr>
                <w:sz w:val="20"/>
                <w:szCs w:val="20"/>
                <w:lang w:val="en-US"/>
              </w:rPr>
            </w:pPr>
            <w:r w:rsidRPr="00254939">
              <w:rPr>
                <w:rFonts w:hAnsi="Symbol"/>
                <w:sz w:val="20"/>
                <w:szCs w:val="20"/>
              </w:rPr>
              <w:t></w:t>
            </w:r>
            <w:r w:rsidRPr="00254939">
              <w:rPr>
                <w:sz w:val="20"/>
                <w:szCs w:val="20"/>
                <w:lang w:val="en-US"/>
              </w:rPr>
              <w:t xml:space="preserve">  Share of renewable energy sources in the energy mix</w:t>
            </w:r>
          </w:p>
          <w:p w14:paraId="369A8B2C" w14:textId="77777777" w:rsidR="00A55DE6" w:rsidRPr="00254939" w:rsidRDefault="00A55DE6" w:rsidP="00A55DE6">
            <w:pPr>
              <w:pStyle w:val="aff3"/>
              <w:rPr>
                <w:sz w:val="20"/>
                <w:szCs w:val="20"/>
                <w:lang w:val="en-US"/>
              </w:rPr>
            </w:pPr>
            <w:r w:rsidRPr="00254939">
              <w:rPr>
                <w:rFonts w:hAnsi="Symbol"/>
                <w:sz w:val="20"/>
                <w:szCs w:val="20"/>
              </w:rPr>
              <w:t></w:t>
            </w:r>
            <w:r w:rsidRPr="00254939">
              <w:rPr>
                <w:sz w:val="20"/>
                <w:szCs w:val="20"/>
                <w:lang w:val="en-US"/>
              </w:rPr>
              <w:t xml:space="preserve">  Reduction/avoidance of water losses (in reservoirs, water pipelines, natural habitats, etc.) in cubic meters (m³)</w:t>
            </w:r>
          </w:p>
          <w:p w14:paraId="61D9EE59" w14:textId="77777777" w:rsidR="00A55DE6" w:rsidRPr="00254939" w:rsidRDefault="00A55DE6" w:rsidP="00A55DE6">
            <w:pPr>
              <w:pStyle w:val="aff3"/>
              <w:rPr>
                <w:sz w:val="20"/>
                <w:szCs w:val="20"/>
                <w:lang w:val="en-US"/>
              </w:rPr>
            </w:pPr>
            <w:r w:rsidRPr="00254939">
              <w:rPr>
                <w:rFonts w:hAnsi="Symbol"/>
                <w:sz w:val="20"/>
                <w:szCs w:val="20"/>
              </w:rPr>
              <w:t></w:t>
            </w:r>
            <w:r w:rsidRPr="00254939">
              <w:rPr>
                <w:sz w:val="20"/>
                <w:szCs w:val="20"/>
                <w:lang w:val="en-US"/>
              </w:rPr>
              <w:t xml:space="preserve">  Area of agricultural land where drought-tolerant crop varieties have been implemented </w:t>
            </w:r>
          </w:p>
          <w:p w14:paraId="617B7FDF" w14:textId="4B2CAC45" w:rsidR="00B25168" w:rsidRPr="00A55DE6" w:rsidRDefault="00B25168">
            <w:pPr>
              <w:rPr>
                <w:color w:val="000000"/>
                <w:sz w:val="20"/>
                <w:szCs w:val="20"/>
                <w:lang w:val="en-US"/>
              </w:rPr>
            </w:pPr>
          </w:p>
        </w:tc>
      </w:tr>
      <w:tr w:rsidR="00B25168" w:rsidRPr="00645D1F" w14:paraId="617B7FE3" w14:textId="77777777">
        <w:trPr>
          <w:trHeight w:val="1020"/>
        </w:trPr>
        <w:tc>
          <w:tcPr>
            <w:tcW w:w="3113" w:type="dxa"/>
            <w:tcBorders>
              <w:left w:val="single" w:sz="4" w:space="0" w:color="000000"/>
              <w:bottom w:val="single" w:sz="4" w:space="0" w:color="000000"/>
              <w:right w:val="single" w:sz="4" w:space="0" w:color="000000"/>
            </w:tcBorders>
            <w:shd w:val="clear" w:color="auto" w:fill="auto"/>
          </w:tcPr>
          <w:p w14:paraId="6EDCF20F" w14:textId="77777777" w:rsidR="00CA350F" w:rsidRPr="00CA350F" w:rsidRDefault="00CA350F" w:rsidP="00CA350F">
            <w:pPr>
              <w:rPr>
                <w:sz w:val="20"/>
                <w:szCs w:val="20"/>
                <w:lang w:val="en-US"/>
              </w:rPr>
            </w:pPr>
            <w:r w:rsidRPr="00CA350F">
              <w:rPr>
                <w:sz w:val="20"/>
                <w:szCs w:val="20"/>
                <w:lang w:val="en-US"/>
              </w:rPr>
              <w:t xml:space="preserve">Products, Production Technologies, </w:t>
            </w:r>
            <w:r>
              <w:rPr>
                <w:sz w:val="20"/>
                <w:szCs w:val="20"/>
                <w:lang w:val="en-US"/>
              </w:rPr>
              <w:t>a</w:t>
            </w:r>
            <w:r w:rsidRPr="00CA350F">
              <w:rPr>
                <w:sz w:val="20"/>
                <w:szCs w:val="20"/>
                <w:lang w:val="en-US"/>
              </w:rPr>
              <w:t xml:space="preserve">nd Processes Adapted </w:t>
            </w:r>
            <w:r>
              <w:rPr>
                <w:sz w:val="20"/>
                <w:szCs w:val="20"/>
                <w:lang w:val="en-US"/>
              </w:rPr>
              <w:t>t</w:t>
            </w:r>
            <w:r w:rsidRPr="00CA350F">
              <w:rPr>
                <w:sz w:val="20"/>
                <w:szCs w:val="20"/>
                <w:lang w:val="en-US"/>
              </w:rPr>
              <w:t xml:space="preserve">o Circular Economy </w:t>
            </w:r>
          </w:p>
          <w:p w14:paraId="617B7FE1" w14:textId="6D5B9E83" w:rsidR="00B25168" w:rsidRPr="00CA350F" w:rsidRDefault="00B25168">
            <w:pPr>
              <w:ind w:firstLine="200"/>
              <w:rPr>
                <w:color w:val="000000"/>
                <w:sz w:val="20"/>
                <w:szCs w:val="20"/>
                <w:lang w:val="en-US"/>
              </w:rPr>
            </w:pPr>
          </w:p>
        </w:tc>
        <w:tc>
          <w:tcPr>
            <w:tcW w:w="7513" w:type="dxa"/>
            <w:tcBorders>
              <w:bottom w:val="single" w:sz="4" w:space="0" w:color="000000"/>
              <w:right w:val="single" w:sz="4" w:space="0" w:color="000000"/>
            </w:tcBorders>
            <w:shd w:val="clear" w:color="auto" w:fill="auto"/>
          </w:tcPr>
          <w:p w14:paraId="244B1849" w14:textId="521C5212" w:rsidR="00A55DE6" w:rsidRPr="00A55DE6" w:rsidRDefault="00A55DE6" w:rsidP="00A55DE6">
            <w:pPr>
              <w:rPr>
                <w:color w:val="000000"/>
                <w:sz w:val="20"/>
                <w:szCs w:val="20"/>
                <w:lang w:val="en-US"/>
              </w:rPr>
            </w:pPr>
            <w:r>
              <w:rPr>
                <w:color w:val="000000"/>
                <w:sz w:val="20"/>
                <w:szCs w:val="20"/>
                <w:lang w:val="en-US"/>
              </w:rPr>
              <w:t>•</w:t>
            </w:r>
            <w:r w:rsidRPr="00A55DE6">
              <w:rPr>
                <w:color w:val="000000"/>
                <w:sz w:val="20"/>
                <w:szCs w:val="20"/>
                <w:lang w:val="en-US"/>
              </w:rPr>
              <w:t>Increase in the percentage of materials, components, and products suitable for reuse or recycling and/or in absolute terms in tons per year.</w:t>
            </w:r>
          </w:p>
          <w:p w14:paraId="617B7FE2" w14:textId="23855601" w:rsidR="00B25168" w:rsidRPr="00A55DE6" w:rsidRDefault="00A55DE6" w:rsidP="00A55DE6">
            <w:pPr>
              <w:rPr>
                <w:color w:val="000000"/>
                <w:sz w:val="20"/>
                <w:szCs w:val="20"/>
                <w:lang w:val="en-US"/>
              </w:rPr>
            </w:pPr>
            <w:r>
              <w:rPr>
                <w:color w:val="000000"/>
                <w:sz w:val="20"/>
                <w:szCs w:val="20"/>
                <w:lang w:val="en-US"/>
              </w:rPr>
              <w:t>•</w:t>
            </w:r>
            <w:r w:rsidRPr="00A55DE6">
              <w:rPr>
                <w:color w:val="000000"/>
                <w:sz w:val="20"/>
                <w:szCs w:val="20"/>
                <w:lang w:val="en-US"/>
              </w:rPr>
              <w:t>Percentage and/or absolute quantity in tons per year of primary raw materials replaced by secondary raw materials and by-products of production processes</w:t>
            </w:r>
          </w:p>
        </w:tc>
      </w:tr>
      <w:tr w:rsidR="00B25168" w:rsidRPr="00645D1F" w14:paraId="617B7FE6" w14:textId="77777777">
        <w:trPr>
          <w:trHeight w:val="1020"/>
        </w:trPr>
        <w:tc>
          <w:tcPr>
            <w:tcW w:w="3113" w:type="dxa"/>
            <w:tcBorders>
              <w:left w:val="single" w:sz="4" w:space="0" w:color="000000"/>
              <w:bottom w:val="single" w:sz="4" w:space="0" w:color="000000"/>
              <w:right w:val="single" w:sz="4" w:space="0" w:color="000000"/>
            </w:tcBorders>
            <w:shd w:val="clear" w:color="auto" w:fill="auto"/>
          </w:tcPr>
          <w:p w14:paraId="50BC6986" w14:textId="77777777" w:rsidR="00CA350F" w:rsidRDefault="00CA350F" w:rsidP="00CA350F">
            <w:pPr>
              <w:rPr>
                <w:sz w:val="20"/>
                <w:szCs w:val="20"/>
              </w:rPr>
            </w:pPr>
            <w:r>
              <w:rPr>
                <w:sz w:val="20"/>
                <w:szCs w:val="20"/>
                <w:lang w:val="en-US"/>
              </w:rPr>
              <w:t xml:space="preserve">Green Buildings </w:t>
            </w:r>
          </w:p>
          <w:p w14:paraId="617B7FE4" w14:textId="6BD475E9" w:rsidR="00B25168" w:rsidRDefault="00B25168">
            <w:pPr>
              <w:ind w:firstLine="200"/>
              <w:rPr>
                <w:color w:val="000000"/>
                <w:sz w:val="20"/>
                <w:szCs w:val="20"/>
              </w:rPr>
            </w:pPr>
          </w:p>
        </w:tc>
        <w:tc>
          <w:tcPr>
            <w:tcW w:w="7513" w:type="dxa"/>
            <w:tcBorders>
              <w:bottom w:val="single" w:sz="4" w:space="0" w:color="000000"/>
              <w:right w:val="single" w:sz="4" w:space="0" w:color="000000"/>
            </w:tcBorders>
            <w:shd w:val="clear" w:color="auto" w:fill="auto"/>
          </w:tcPr>
          <w:p w14:paraId="5EC914CC" w14:textId="44D3B1F4" w:rsidR="00A55DE6" w:rsidRPr="00A55DE6" w:rsidRDefault="00A55DE6" w:rsidP="00A55DE6">
            <w:pPr>
              <w:rPr>
                <w:color w:val="000000"/>
                <w:sz w:val="20"/>
                <w:szCs w:val="20"/>
                <w:lang w:val="en-US"/>
              </w:rPr>
            </w:pPr>
            <w:r>
              <w:rPr>
                <w:color w:val="000000"/>
                <w:sz w:val="20"/>
                <w:szCs w:val="20"/>
                <w:lang w:val="en-US"/>
              </w:rPr>
              <w:t xml:space="preserve">• </w:t>
            </w:r>
            <w:r w:rsidRPr="00A55DE6">
              <w:rPr>
                <w:color w:val="000000"/>
                <w:sz w:val="20"/>
                <w:szCs w:val="20"/>
                <w:lang w:val="en-US"/>
              </w:rPr>
              <w:t xml:space="preserve">Environmental certification or EPC </w:t>
            </w:r>
          </w:p>
          <w:p w14:paraId="632FB318" w14:textId="085EA786" w:rsidR="00A55DE6" w:rsidRPr="00A55DE6" w:rsidRDefault="00A55DE6" w:rsidP="00A55DE6">
            <w:pPr>
              <w:rPr>
                <w:color w:val="000000"/>
                <w:sz w:val="20"/>
                <w:szCs w:val="20"/>
                <w:lang w:val="en-US"/>
              </w:rPr>
            </w:pPr>
            <w:r>
              <w:rPr>
                <w:color w:val="000000"/>
                <w:sz w:val="20"/>
                <w:szCs w:val="20"/>
                <w:lang w:val="en-US"/>
              </w:rPr>
              <w:t xml:space="preserve">• </w:t>
            </w:r>
            <w:r w:rsidRPr="00A55DE6">
              <w:rPr>
                <w:color w:val="000000"/>
                <w:sz w:val="20"/>
                <w:szCs w:val="20"/>
                <w:lang w:val="en-US"/>
              </w:rPr>
              <w:t>Reduction in energy consumption (MWh) per year</w:t>
            </w:r>
          </w:p>
          <w:p w14:paraId="37F68985" w14:textId="324D76E7" w:rsidR="00A55DE6" w:rsidRPr="00A55DE6" w:rsidRDefault="00A55DE6" w:rsidP="00A55DE6">
            <w:pPr>
              <w:rPr>
                <w:color w:val="000000"/>
                <w:sz w:val="20"/>
                <w:szCs w:val="20"/>
                <w:lang w:val="en-US"/>
              </w:rPr>
            </w:pPr>
            <w:r>
              <w:rPr>
                <w:color w:val="000000"/>
                <w:sz w:val="20"/>
                <w:szCs w:val="20"/>
                <w:lang w:val="en-US"/>
              </w:rPr>
              <w:t xml:space="preserve">• </w:t>
            </w:r>
            <w:r w:rsidRPr="00A55DE6">
              <w:rPr>
                <w:color w:val="000000"/>
                <w:sz w:val="20"/>
                <w:szCs w:val="20"/>
                <w:lang w:val="en-US"/>
              </w:rPr>
              <w:t>Reduction in water consumption before and after project implementation in m³/year, and percentage reduction in water consumption</w:t>
            </w:r>
          </w:p>
          <w:p w14:paraId="617B7FE5" w14:textId="60D750BC" w:rsidR="00B25168" w:rsidRPr="00A55DE6" w:rsidRDefault="00A55DE6" w:rsidP="00A55DE6">
            <w:pPr>
              <w:rPr>
                <w:color w:val="000000"/>
                <w:sz w:val="20"/>
                <w:szCs w:val="20"/>
                <w:lang w:val="en-US"/>
              </w:rPr>
            </w:pPr>
            <w:r>
              <w:rPr>
                <w:color w:val="000000"/>
                <w:sz w:val="20"/>
                <w:szCs w:val="20"/>
                <w:lang w:val="en-US"/>
              </w:rPr>
              <w:t xml:space="preserve">• </w:t>
            </w:r>
            <w:r w:rsidRPr="00A55DE6">
              <w:rPr>
                <w:color w:val="000000"/>
                <w:sz w:val="20"/>
                <w:szCs w:val="20"/>
                <w:lang w:val="en-US"/>
              </w:rPr>
              <w:t>Number of installed charging stations, capacity of renewable energy installations</w:t>
            </w:r>
          </w:p>
        </w:tc>
      </w:tr>
    </w:tbl>
    <w:p w14:paraId="617B7FE7" w14:textId="0DBCD4F0" w:rsidR="00B25168" w:rsidRPr="00A55DE6" w:rsidRDefault="00A55DE6">
      <w:pPr>
        <w:pStyle w:val="1"/>
        <w:rPr>
          <w:color w:val="auto"/>
          <w:lang w:val="en-US" w:eastAsia="en-US"/>
        </w:rPr>
      </w:pPr>
      <w:bookmarkStart w:id="26" w:name="_Toc180407835"/>
      <w:bookmarkStart w:id="27" w:name="_Toc203989741"/>
      <w:r>
        <w:rPr>
          <w:color w:val="auto"/>
          <w:lang w:val="en-US" w:eastAsia="en-US"/>
        </w:rPr>
        <w:t>Chapter 8</w:t>
      </w:r>
      <w:r w:rsidR="00723021" w:rsidRPr="00A55DE6">
        <w:rPr>
          <w:color w:val="auto"/>
          <w:lang w:val="en-US" w:eastAsia="en-US"/>
        </w:rPr>
        <w:t xml:space="preserve">. </w:t>
      </w:r>
      <w:bookmarkEnd w:id="26"/>
      <w:r>
        <w:rPr>
          <w:color w:val="auto"/>
          <w:lang w:val="en-US" w:eastAsia="en-US"/>
        </w:rPr>
        <w:t>External Evaluation</w:t>
      </w:r>
      <w:bookmarkEnd w:id="27"/>
    </w:p>
    <w:p w14:paraId="08BCEEB8" w14:textId="0C8FC1D8" w:rsidR="00A55DE6" w:rsidRPr="00A55DE6" w:rsidRDefault="00A55DE6" w:rsidP="00EA6BC0">
      <w:pPr>
        <w:pStyle w:val="Default"/>
        <w:numPr>
          <w:ilvl w:val="0"/>
          <w:numId w:val="34"/>
        </w:numPr>
        <w:tabs>
          <w:tab w:val="left" w:pos="284"/>
          <w:tab w:val="left" w:pos="426"/>
        </w:tabs>
        <w:ind w:left="0" w:firstLine="0"/>
        <w:jc w:val="both"/>
        <w:rPr>
          <w:lang w:val="en-US"/>
        </w:rPr>
      </w:pPr>
      <w:r w:rsidRPr="00A55DE6">
        <w:rPr>
          <w:lang w:val="en-US"/>
        </w:rPr>
        <w:t>External evaluation procedure:</w:t>
      </w:r>
    </w:p>
    <w:p w14:paraId="531EC383" w14:textId="5B00191B" w:rsidR="00A55DE6" w:rsidRPr="004645BD" w:rsidRDefault="00A55DE6" w:rsidP="00EA6BC0">
      <w:pPr>
        <w:pStyle w:val="ad"/>
        <w:numPr>
          <w:ilvl w:val="0"/>
          <w:numId w:val="39"/>
        </w:numPr>
        <w:tabs>
          <w:tab w:val="left" w:pos="567"/>
          <w:tab w:val="left" w:pos="851"/>
        </w:tabs>
        <w:ind w:left="0" w:firstLine="567"/>
        <w:jc w:val="both"/>
        <w:rPr>
          <w:lang w:val="en-US"/>
        </w:rPr>
      </w:pPr>
      <w:r w:rsidRPr="00EA6BC0">
        <w:rPr>
          <w:lang w:val="en-US"/>
        </w:rPr>
        <w:t>Prior to the issuance of “green” bonds, in the form of Second Party Opinion (SPO): The Bank</w:t>
      </w:r>
      <w:r w:rsidRPr="004645BD">
        <w:rPr>
          <w:lang w:val="en-US"/>
        </w:rPr>
        <w:t xml:space="preserve"> shall engage an external reviewer to conduct an independent </w:t>
      </w:r>
      <w:r>
        <w:rPr>
          <w:lang w:val="en-US"/>
        </w:rPr>
        <w:t>evaluation</w:t>
      </w:r>
      <w:r w:rsidRPr="004645BD">
        <w:rPr>
          <w:lang w:val="en-US"/>
        </w:rPr>
        <w:t xml:space="preserve"> of this Policy to confirm its alignment with the GBP ICMA. The Bank </w:t>
      </w:r>
      <w:r>
        <w:rPr>
          <w:lang w:val="en-US"/>
        </w:rPr>
        <w:t>shall</w:t>
      </w:r>
      <w:r w:rsidRPr="004645BD">
        <w:rPr>
          <w:lang w:val="en-US"/>
        </w:rPr>
        <w:t xml:space="preserve"> regularly review the Policy, including its compliance with updated versions of the above-mentioned principles as they are released, in order to maintain best practices and make changes or additions as necessary.</w:t>
      </w:r>
    </w:p>
    <w:p w14:paraId="617B7FEA" w14:textId="40AC4A06" w:rsidR="00B25168" w:rsidRPr="00EA6BC0" w:rsidRDefault="00A55DE6" w:rsidP="00EA6BC0">
      <w:pPr>
        <w:pStyle w:val="ad"/>
        <w:numPr>
          <w:ilvl w:val="0"/>
          <w:numId w:val="39"/>
        </w:numPr>
        <w:tabs>
          <w:tab w:val="left" w:pos="567"/>
          <w:tab w:val="left" w:pos="851"/>
        </w:tabs>
        <w:ind w:left="0" w:firstLine="567"/>
        <w:jc w:val="both"/>
        <w:rPr>
          <w:lang w:val="en-US"/>
        </w:rPr>
      </w:pPr>
      <w:r w:rsidRPr="00EA6BC0">
        <w:rPr>
          <w:lang w:val="en-US"/>
        </w:rPr>
        <w:t>After the issuance of “green” bonds: The Bank shall conduct a “compliance audit” within 1 year from the issuance of the “green” bonds and annually thereafter until</w:t>
      </w:r>
      <w:r w:rsidRPr="00A55DE6">
        <w:rPr>
          <w:lang w:val="en-US"/>
        </w:rPr>
        <w:t xml:space="preserve"> all proceeds from the “green” bonds have been fully allocated, with the aim of confirming that the proceeds have been allocated to eligible projects in accordance with the Policy. The annual reports published by the Bank, together with the External Assurance Report, will be made available on the Bank’s website</w:t>
      </w:r>
      <w:r w:rsidR="00723021" w:rsidRPr="00EA6BC0">
        <w:rPr>
          <w:lang w:val="en-US"/>
        </w:rPr>
        <w:t xml:space="preserve">. </w:t>
      </w:r>
    </w:p>
    <w:p w14:paraId="617B7FEB" w14:textId="143B77B0" w:rsidR="00B25168" w:rsidRPr="00A55DE6" w:rsidRDefault="00A55DE6">
      <w:pPr>
        <w:pStyle w:val="1"/>
        <w:rPr>
          <w:color w:val="auto"/>
          <w:lang w:val="en-US" w:eastAsia="en-US"/>
        </w:rPr>
      </w:pPr>
      <w:bookmarkStart w:id="28" w:name="_Toc138339009"/>
      <w:bookmarkStart w:id="29" w:name="_Toc139468105"/>
      <w:bookmarkStart w:id="30" w:name="_Toc139468248"/>
      <w:bookmarkStart w:id="31" w:name="_Toc140151321"/>
      <w:bookmarkStart w:id="32" w:name="_Toc140151458"/>
      <w:bookmarkStart w:id="33" w:name="_Toc140151887"/>
      <w:bookmarkStart w:id="34" w:name="_Toc140151911"/>
      <w:bookmarkStart w:id="35" w:name="_Toc140152162"/>
      <w:bookmarkStart w:id="36" w:name="_Toc149232902"/>
      <w:bookmarkStart w:id="37" w:name="_Toc180407836"/>
      <w:bookmarkStart w:id="38" w:name="_Toc203989742"/>
      <w:r>
        <w:rPr>
          <w:color w:val="auto"/>
          <w:lang w:val="en-US" w:eastAsia="en-US"/>
        </w:rPr>
        <w:t xml:space="preserve">Chapter </w:t>
      </w:r>
      <w:r w:rsidR="00723021" w:rsidRPr="00A55DE6">
        <w:rPr>
          <w:color w:val="auto"/>
          <w:lang w:val="en-US" w:eastAsia="en-US"/>
        </w:rPr>
        <w:t xml:space="preserve">9. </w:t>
      </w:r>
      <w:bookmarkEnd w:id="28"/>
      <w:bookmarkEnd w:id="29"/>
      <w:bookmarkEnd w:id="30"/>
      <w:bookmarkEnd w:id="31"/>
      <w:bookmarkEnd w:id="32"/>
      <w:bookmarkEnd w:id="33"/>
      <w:bookmarkEnd w:id="34"/>
      <w:bookmarkEnd w:id="35"/>
      <w:bookmarkEnd w:id="36"/>
      <w:bookmarkEnd w:id="37"/>
      <w:r>
        <w:rPr>
          <w:color w:val="auto"/>
          <w:lang w:val="en-US" w:eastAsia="en-US"/>
        </w:rPr>
        <w:t>Final Provisions</w:t>
      </w:r>
      <w:bookmarkEnd w:id="38"/>
    </w:p>
    <w:p w14:paraId="6F7A670F" w14:textId="09CDD9D3" w:rsidR="00A55DE6" w:rsidRPr="001B74F1" w:rsidRDefault="00A55DE6" w:rsidP="00EA6BC0">
      <w:pPr>
        <w:pStyle w:val="Default"/>
        <w:numPr>
          <w:ilvl w:val="0"/>
          <w:numId w:val="34"/>
        </w:numPr>
        <w:tabs>
          <w:tab w:val="left" w:pos="284"/>
          <w:tab w:val="left" w:pos="426"/>
        </w:tabs>
        <w:ind w:left="0" w:firstLine="0"/>
        <w:jc w:val="both"/>
        <w:rPr>
          <w:lang w:val="en-US"/>
        </w:rPr>
      </w:pPr>
      <w:r w:rsidRPr="001B74F1">
        <w:rPr>
          <w:lang w:val="en-US"/>
        </w:rPr>
        <w:t>The Bank’s employees involved in activities governed by this Policy shall be held liable for non-compliance or improper compliance with the provisions of this Policy in the preparation and approval of internal regulatory documents, development and implementation of business processes, information exchange, other forms of communication, as well as in the planning and execution of activities regulated by this Policy.</w:t>
      </w:r>
    </w:p>
    <w:p w14:paraId="6DAEC2C3" w14:textId="53D7AA0C" w:rsidR="00A55DE6" w:rsidRPr="001B74F1" w:rsidRDefault="00A55DE6" w:rsidP="00EA6BC0">
      <w:pPr>
        <w:pStyle w:val="Default"/>
        <w:numPr>
          <w:ilvl w:val="0"/>
          <w:numId w:val="34"/>
        </w:numPr>
        <w:tabs>
          <w:tab w:val="left" w:pos="284"/>
          <w:tab w:val="left" w:pos="426"/>
        </w:tabs>
        <w:ind w:left="0" w:firstLine="0"/>
        <w:jc w:val="both"/>
        <w:rPr>
          <w:lang w:val="en-US"/>
        </w:rPr>
      </w:pPr>
      <w:r w:rsidRPr="001B74F1">
        <w:rPr>
          <w:lang w:val="en-US"/>
        </w:rPr>
        <w:t>The type of disciplinary action for non-compliance or improper compliance with the provisions of this Policy shall be determined in accordance with the legislation of the Republic of Kazakhstan and the Bank’s internal regulatory documents.</w:t>
      </w:r>
    </w:p>
    <w:p w14:paraId="1D7CB3A4" w14:textId="2D274D43" w:rsidR="00A55DE6" w:rsidRPr="001B74F1" w:rsidRDefault="00A55DE6" w:rsidP="00EA6BC0">
      <w:pPr>
        <w:pStyle w:val="Default"/>
        <w:numPr>
          <w:ilvl w:val="0"/>
          <w:numId w:val="34"/>
        </w:numPr>
        <w:tabs>
          <w:tab w:val="left" w:pos="284"/>
          <w:tab w:val="left" w:pos="426"/>
        </w:tabs>
        <w:ind w:left="0" w:firstLine="0"/>
        <w:jc w:val="both"/>
        <w:rPr>
          <w:lang w:val="en-US"/>
        </w:rPr>
      </w:pPr>
      <w:r w:rsidRPr="001B74F1">
        <w:rPr>
          <w:lang w:val="en-US"/>
        </w:rPr>
        <w:t>Control over compliance with the requirements established by this Policy shall be exercised in accordance with the principles of the Bank’s internal control system.</w:t>
      </w:r>
    </w:p>
    <w:p w14:paraId="47EAB5F3" w14:textId="65F8F7CD" w:rsidR="00A55DE6" w:rsidRPr="001B74F1" w:rsidRDefault="00A55DE6" w:rsidP="00EA6BC0">
      <w:pPr>
        <w:pStyle w:val="Default"/>
        <w:numPr>
          <w:ilvl w:val="0"/>
          <w:numId w:val="34"/>
        </w:numPr>
        <w:tabs>
          <w:tab w:val="left" w:pos="284"/>
          <w:tab w:val="left" w:pos="426"/>
        </w:tabs>
        <w:ind w:left="0" w:firstLine="0"/>
        <w:jc w:val="both"/>
        <w:rPr>
          <w:lang w:val="en-US"/>
        </w:rPr>
      </w:pPr>
      <w:r w:rsidRPr="001B74F1">
        <w:rPr>
          <w:lang w:val="en-US"/>
        </w:rPr>
        <w:t>This Policy shall be approved by the Bank’s Board of Directors.</w:t>
      </w:r>
    </w:p>
    <w:p w14:paraId="617B7FF0" w14:textId="7009A1FC" w:rsidR="00B25168" w:rsidRDefault="00A55DE6" w:rsidP="00EA6BC0">
      <w:pPr>
        <w:pStyle w:val="Default"/>
        <w:numPr>
          <w:ilvl w:val="0"/>
          <w:numId w:val="34"/>
        </w:numPr>
        <w:tabs>
          <w:tab w:val="left" w:pos="284"/>
          <w:tab w:val="left" w:pos="426"/>
        </w:tabs>
        <w:ind w:left="0" w:firstLine="0"/>
        <w:jc w:val="both"/>
        <w:rPr>
          <w:lang w:val="en-US"/>
        </w:rPr>
      </w:pPr>
      <w:r w:rsidRPr="001B74F1">
        <w:rPr>
          <w:lang w:val="en-US"/>
        </w:rPr>
        <w:t>Issues not regulated by this Policy shall be resolved in accordance with the legislation of the Republic of Kazakhstan, regulatory legal acts of the Republic of Kazakhstan, the Bank’s Charter, internal regulatory documents of the Bank, as well as decisions of the Bank’s bodies and officials adopted in the prescribed manner within their authority</w:t>
      </w:r>
      <w:r w:rsidR="00723021" w:rsidRPr="00A55DE6">
        <w:rPr>
          <w:lang w:val="en-US"/>
        </w:rPr>
        <w:t>.</w:t>
      </w:r>
    </w:p>
    <w:p w14:paraId="07138D6F" w14:textId="77777777" w:rsidR="006B3FA1" w:rsidRDefault="006B3FA1" w:rsidP="00697F59">
      <w:pPr>
        <w:tabs>
          <w:tab w:val="left" w:pos="426"/>
        </w:tabs>
        <w:contextualSpacing/>
        <w:jc w:val="both"/>
        <w:rPr>
          <w:lang w:val="en-US"/>
        </w:rPr>
      </w:pPr>
    </w:p>
    <w:p w14:paraId="45D84C6B" w14:textId="77777777" w:rsidR="006B3FA1" w:rsidRPr="00697F59" w:rsidRDefault="006B3FA1" w:rsidP="00A55DE6">
      <w:pPr>
        <w:tabs>
          <w:tab w:val="left" w:pos="426"/>
        </w:tabs>
        <w:contextualSpacing/>
        <w:jc w:val="both"/>
        <w:rPr>
          <w:lang w:val="kk-KZ"/>
        </w:rPr>
      </w:pPr>
    </w:p>
    <w:p w14:paraId="08F4708A" w14:textId="00BCA0BD" w:rsidR="00645D1F" w:rsidRPr="00697F59" w:rsidRDefault="00A55DE6" w:rsidP="00697F59">
      <w:pPr>
        <w:pStyle w:val="2"/>
        <w:jc w:val="right"/>
        <w:rPr>
          <w:lang w:val="kk-KZ" w:eastAsia="en-US"/>
        </w:rPr>
      </w:pPr>
      <w:bookmarkStart w:id="39" w:name="_Toc203989743"/>
      <w:r>
        <w:rPr>
          <w:lang w:val="en-US" w:eastAsia="en-US"/>
        </w:rPr>
        <w:t xml:space="preserve">Annex </w:t>
      </w:r>
      <w:r w:rsidR="00723021">
        <w:rPr>
          <w:lang w:eastAsia="en-US"/>
        </w:rPr>
        <w:t>1</w:t>
      </w:r>
      <w:bookmarkEnd w:id="39"/>
      <w:r w:rsidR="00723021">
        <w:rPr>
          <w:lang w:eastAsia="en-US"/>
        </w:rPr>
        <w:t xml:space="preserve"> </w:t>
      </w:r>
    </w:p>
    <w:bookmarkStart w:id="40" w:name="_MON_1810126967"/>
    <w:bookmarkEnd w:id="40"/>
    <w:bookmarkStart w:id="41" w:name="_MON_1815896773"/>
    <w:bookmarkEnd w:id="41"/>
    <w:p w14:paraId="617B7FF7" w14:textId="48573475" w:rsidR="00B25168" w:rsidRPr="00697F59" w:rsidRDefault="00645D1F" w:rsidP="00697F59">
      <w:pPr>
        <w:tabs>
          <w:tab w:val="left" w:pos="426"/>
        </w:tabs>
        <w:contextualSpacing/>
        <w:jc w:val="right"/>
      </w:pPr>
      <w:r>
        <w:object w:dxaOrig="1540" w:dyaOrig="997" w14:anchorId="317601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25pt;height:49.5pt" o:ole="">
            <v:imagedata r:id="rId9" o:title=""/>
          </v:shape>
          <o:OLEObject Type="Embed" ProgID="Word.Document.12" ShapeID="_x0000_i1027" DrawAspect="Icon" ObjectID="_1815898374" r:id="rId10">
            <o:FieldCodes>\s</o:FieldCodes>
          </o:OLEObject>
        </w:object>
      </w:r>
      <w:bookmarkStart w:id="42" w:name="_MON_1810126967_Копия_1"/>
      <w:bookmarkEnd w:id="42"/>
      <w:r w:rsidR="00000000">
        <w:pict w14:anchorId="617B8014">
          <v:shape id="_x0000_tole_rId26" o:spid="_x0000_s1027" type="#_x0000_t75" style="position:absolute;left:0;text-align:left;margin-left:0;margin-top:0;width:50pt;height:50pt;z-index:251657728;visibility:hidden;mso-position-horizontal-relative:text;mso-position-vertical-relative:text">
            <o:lock v:ext="edit" selection="t"/>
          </v:shape>
        </w:pict>
      </w:r>
    </w:p>
    <w:sectPr w:rsidR="00B25168" w:rsidRPr="00697F59">
      <w:headerReference w:type="even" r:id="rId11"/>
      <w:headerReference w:type="default" r:id="rId12"/>
      <w:headerReference w:type="first" r:id="rId13"/>
      <w:pgSz w:w="11906" w:h="16838"/>
      <w:pgMar w:top="766" w:right="566" w:bottom="851" w:left="851"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73B809" w14:textId="77777777" w:rsidR="00947250" w:rsidRDefault="00947250">
      <w:r>
        <w:separator/>
      </w:r>
    </w:p>
  </w:endnote>
  <w:endnote w:type="continuationSeparator" w:id="0">
    <w:p w14:paraId="5B7E54CD" w14:textId="77777777" w:rsidR="00947250" w:rsidRDefault="00947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rlito">
    <w:altName w:val="Calibri"/>
    <w:charset w:val="01"/>
    <w:family w:val="swiss"/>
    <w:pitch w:val="variable"/>
  </w:font>
  <w:font w:name="DejaVu Sans">
    <w:altName w:val="Verdan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B60C1" w14:textId="77777777" w:rsidR="00947250" w:rsidRDefault="00947250">
      <w:r>
        <w:separator/>
      </w:r>
    </w:p>
  </w:footnote>
  <w:footnote w:type="continuationSeparator" w:id="0">
    <w:p w14:paraId="1BE69164" w14:textId="77777777" w:rsidR="00947250" w:rsidRDefault="00947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B8016" w14:textId="77777777" w:rsidR="00B25168" w:rsidRDefault="00B2516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8452183"/>
      <w:docPartObj>
        <w:docPartGallery w:val="Page Numbers (Top of Page)"/>
        <w:docPartUnique/>
      </w:docPartObj>
    </w:sdtPr>
    <w:sdtContent>
      <w:p w14:paraId="617B8017" w14:textId="77777777" w:rsidR="00B25168" w:rsidRDefault="00723021">
        <w:pPr>
          <w:pStyle w:val="a4"/>
          <w:jc w:val="center"/>
        </w:pPr>
        <w:r>
          <w:fldChar w:fldCharType="begin"/>
        </w:r>
        <w:r>
          <w:instrText xml:space="preserve"> PAGE </w:instrText>
        </w:r>
        <w:r>
          <w:fldChar w:fldCharType="separate"/>
        </w:r>
        <w:r w:rsidR="00A83F88">
          <w:rPr>
            <w:noProof/>
          </w:rPr>
          <w:t>12</w:t>
        </w:r>
        <w:r>
          <w:fldChar w:fldCharType="end"/>
        </w:r>
      </w:p>
    </w:sdtContent>
  </w:sdt>
  <w:p w14:paraId="617B8018" w14:textId="77777777" w:rsidR="00B25168" w:rsidRDefault="00B2516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B8019" w14:textId="77777777" w:rsidR="00B25168" w:rsidRDefault="00B2516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462FD"/>
    <w:multiLevelType w:val="multilevel"/>
    <w:tmpl w:val="7ABCFD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912224D"/>
    <w:multiLevelType w:val="hybridMultilevel"/>
    <w:tmpl w:val="52365282"/>
    <w:lvl w:ilvl="0" w:tplc="18164478">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28B087F"/>
    <w:multiLevelType w:val="hybridMultilevel"/>
    <w:tmpl w:val="0FFA2F66"/>
    <w:lvl w:ilvl="0" w:tplc="B3C06574">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4D300E"/>
    <w:multiLevelType w:val="multilevel"/>
    <w:tmpl w:val="A6EC3A4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5A92DB7"/>
    <w:multiLevelType w:val="hybridMultilevel"/>
    <w:tmpl w:val="F6386FA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5B56537"/>
    <w:multiLevelType w:val="multilevel"/>
    <w:tmpl w:val="959883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8732C9C"/>
    <w:multiLevelType w:val="hybridMultilevel"/>
    <w:tmpl w:val="9E747138"/>
    <w:lvl w:ilvl="0" w:tplc="0419000F">
      <w:start w:val="4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3B4CB1"/>
    <w:multiLevelType w:val="multilevel"/>
    <w:tmpl w:val="EA9AB2D8"/>
    <w:lvl w:ilvl="0">
      <w:start w:val="1"/>
      <w:numFmt w:val="decimal"/>
      <w:lvlText w:val="%1)"/>
      <w:lvlJc w:val="left"/>
      <w:pPr>
        <w:tabs>
          <w:tab w:val="num" w:pos="0"/>
        </w:tabs>
        <w:ind w:left="1080" w:hanging="360"/>
      </w:pPr>
      <w:rPr>
        <w:sz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8" w15:restartNumberingAfterBreak="0">
    <w:nsid w:val="1FFA660D"/>
    <w:multiLevelType w:val="hybridMultilevel"/>
    <w:tmpl w:val="98440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9D51CD"/>
    <w:multiLevelType w:val="hybridMultilevel"/>
    <w:tmpl w:val="C666DA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2F236BC"/>
    <w:multiLevelType w:val="hybridMultilevel"/>
    <w:tmpl w:val="2B1067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4097ECB"/>
    <w:multiLevelType w:val="multilevel"/>
    <w:tmpl w:val="041AA3CC"/>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2" w15:restartNumberingAfterBreak="0">
    <w:nsid w:val="344C7EEE"/>
    <w:multiLevelType w:val="hybridMultilevel"/>
    <w:tmpl w:val="1AF47C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7864ECD"/>
    <w:multiLevelType w:val="hybridMultilevel"/>
    <w:tmpl w:val="A170C92A"/>
    <w:lvl w:ilvl="0" w:tplc="B3C06574">
      <w:start w:val="1"/>
      <w:numFmt w:val="bullet"/>
      <w:lvlText w:val=""/>
      <w:lvlJc w:val="left"/>
      <w:pPr>
        <w:ind w:left="755" w:hanging="360"/>
      </w:pPr>
      <w:rPr>
        <w:rFonts w:ascii="Symbol" w:hAnsi="Symbol" w:hint="default"/>
        <w:color w:val="000000" w:themeColor="text1"/>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14" w15:restartNumberingAfterBreak="0">
    <w:nsid w:val="392F0AB9"/>
    <w:multiLevelType w:val="hybridMultilevel"/>
    <w:tmpl w:val="1598D2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EC4326F"/>
    <w:multiLevelType w:val="hybridMultilevel"/>
    <w:tmpl w:val="1AF47CD8"/>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2F85CF4"/>
    <w:multiLevelType w:val="multilevel"/>
    <w:tmpl w:val="A38EFBF8"/>
    <w:lvl w:ilvl="0">
      <w:start w:val="1"/>
      <w:numFmt w:val="bullet"/>
      <w:pStyle w:val="3"/>
      <w:lvlText w:val="-"/>
      <w:lvlJc w:val="left"/>
      <w:pPr>
        <w:tabs>
          <w:tab w:val="num" w:pos="0"/>
        </w:tabs>
        <w:ind w:left="1440" w:hanging="360"/>
      </w:pPr>
      <w:rPr>
        <w:rFonts w:ascii="Times New Roman" w:hAnsi="Times New Roman" w:cs="Times New Roman"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7" w15:restartNumberingAfterBreak="0">
    <w:nsid w:val="440D58D2"/>
    <w:multiLevelType w:val="hybridMultilevel"/>
    <w:tmpl w:val="96606C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4750A30"/>
    <w:multiLevelType w:val="hybridMultilevel"/>
    <w:tmpl w:val="15223C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AF267FA"/>
    <w:multiLevelType w:val="multilevel"/>
    <w:tmpl w:val="6A06C08E"/>
    <w:lvl w:ilvl="0">
      <w:start w:val="1"/>
      <w:numFmt w:val="decimal"/>
      <w:lvlText w:val="%1)"/>
      <w:lvlJc w:val="left"/>
      <w:pPr>
        <w:tabs>
          <w:tab w:val="num" w:pos="0"/>
        </w:tabs>
        <w:ind w:left="1080" w:hanging="360"/>
      </w:pPr>
      <w:rPr>
        <w:sz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4EAF482E"/>
    <w:multiLevelType w:val="hybridMultilevel"/>
    <w:tmpl w:val="C248BF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1933775"/>
    <w:multiLevelType w:val="hybridMultilevel"/>
    <w:tmpl w:val="68865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3B51C06"/>
    <w:multiLevelType w:val="multilevel"/>
    <w:tmpl w:val="B6486F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55655233"/>
    <w:multiLevelType w:val="multilevel"/>
    <w:tmpl w:val="77CEB49C"/>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A70E1D"/>
    <w:multiLevelType w:val="hybridMultilevel"/>
    <w:tmpl w:val="605631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9B716C4"/>
    <w:multiLevelType w:val="multilevel"/>
    <w:tmpl w:val="2A8CA648"/>
    <w:lvl w:ilvl="0">
      <w:start w:val="1"/>
      <w:numFmt w:val="decimal"/>
      <w:lvlText w:val="%1."/>
      <w:lvlJc w:val="left"/>
      <w:pPr>
        <w:tabs>
          <w:tab w:val="num" w:pos="0"/>
        </w:tabs>
        <w:ind w:left="2912" w:hanging="360"/>
      </w:pPr>
      <w:rPr>
        <w:rFonts w:ascii="Times New Roman" w:hAnsi="Times New Roman" w:cs="Times New Roman"/>
        <w:b w:val="0"/>
        <w:bCs/>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5B336C40"/>
    <w:multiLevelType w:val="hybridMultilevel"/>
    <w:tmpl w:val="37BCA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6B6811"/>
    <w:multiLevelType w:val="hybridMultilevel"/>
    <w:tmpl w:val="67D6FE1A"/>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8" w15:restartNumberingAfterBreak="0">
    <w:nsid w:val="5BB31C6C"/>
    <w:multiLevelType w:val="hybridMultilevel"/>
    <w:tmpl w:val="2DE867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CF15A3C"/>
    <w:multiLevelType w:val="multilevel"/>
    <w:tmpl w:val="F6500F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0" w15:restartNumberingAfterBreak="0">
    <w:nsid w:val="5DC3549B"/>
    <w:multiLevelType w:val="hybridMultilevel"/>
    <w:tmpl w:val="038422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E290246"/>
    <w:multiLevelType w:val="multilevel"/>
    <w:tmpl w:val="E4D6A2B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5FF91853"/>
    <w:multiLevelType w:val="multilevel"/>
    <w:tmpl w:val="BCF2114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637C52B9"/>
    <w:multiLevelType w:val="hybridMultilevel"/>
    <w:tmpl w:val="1AF47C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44F5989"/>
    <w:multiLevelType w:val="hybridMultilevel"/>
    <w:tmpl w:val="1AF47C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86876DB"/>
    <w:multiLevelType w:val="multilevel"/>
    <w:tmpl w:val="0C940CAE"/>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7F332B84"/>
    <w:multiLevelType w:val="hybridMultilevel"/>
    <w:tmpl w:val="557A8F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20122983">
    <w:abstractNumId w:val="25"/>
  </w:num>
  <w:num w:numId="2" w16cid:durableId="110326727">
    <w:abstractNumId w:val="22"/>
  </w:num>
  <w:num w:numId="3" w16cid:durableId="1006131608">
    <w:abstractNumId w:val="3"/>
  </w:num>
  <w:num w:numId="4" w16cid:durableId="1387605204">
    <w:abstractNumId w:val="5"/>
  </w:num>
  <w:num w:numId="5" w16cid:durableId="1911888643">
    <w:abstractNumId w:val="11"/>
  </w:num>
  <w:num w:numId="6" w16cid:durableId="1631664706">
    <w:abstractNumId w:val="7"/>
  </w:num>
  <w:num w:numId="7" w16cid:durableId="458838167">
    <w:abstractNumId w:val="32"/>
  </w:num>
  <w:num w:numId="8" w16cid:durableId="788933705">
    <w:abstractNumId w:val="0"/>
  </w:num>
  <w:num w:numId="9" w16cid:durableId="1174493322">
    <w:abstractNumId w:val="35"/>
  </w:num>
  <w:num w:numId="10" w16cid:durableId="163055865">
    <w:abstractNumId w:val="16"/>
  </w:num>
  <w:num w:numId="11" w16cid:durableId="1359500352">
    <w:abstractNumId w:val="31"/>
  </w:num>
  <w:num w:numId="12" w16cid:durableId="611088551">
    <w:abstractNumId w:val="19"/>
  </w:num>
  <w:num w:numId="13" w16cid:durableId="35205649">
    <w:abstractNumId w:val="29"/>
  </w:num>
  <w:num w:numId="14" w16cid:durableId="1741636511">
    <w:abstractNumId w:val="19"/>
    <w:lvlOverride w:ilvl="0">
      <w:startOverride w:val="1"/>
    </w:lvlOverride>
  </w:num>
  <w:num w:numId="15" w16cid:durableId="13965018">
    <w:abstractNumId w:val="19"/>
  </w:num>
  <w:num w:numId="16" w16cid:durableId="542212036">
    <w:abstractNumId w:val="24"/>
  </w:num>
  <w:num w:numId="17" w16cid:durableId="667177387">
    <w:abstractNumId w:val="36"/>
  </w:num>
  <w:num w:numId="18" w16cid:durableId="1418401808">
    <w:abstractNumId w:val="8"/>
  </w:num>
  <w:num w:numId="19" w16cid:durableId="1062295603">
    <w:abstractNumId w:val="18"/>
  </w:num>
  <w:num w:numId="20" w16cid:durableId="940648892">
    <w:abstractNumId w:val="30"/>
  </w:num>
  <w:num w:numId="21" w16cid:durableId="1475948414">
    <w:abstractNumId w:val="21"/>
  </w:num>
  <w:num w:numId="22" w16cid:durableId="177086637">
    <w:abstractNumId w:val="26"/>
  </w:num>
  <w:num w:numId="23" w16cid:durableId="31149767">
    <w:abstractNumId w:val="17"/>
  </w:num>
  <w:num w:numId="24" w16cid:durableId="1630043437">
    <w:abstractNumId w:val="2"/>
  </w:num>
  <w:num w:numId="25" w16cid:durableId="1649240575">
    <w:abstractNumId w:val="28"/>
  </w:num>
  <w:num w:numId="26" w16cid:durableId="1458718205">
    <w:abstractNumId w:val="9"/>
  </w:num>
  <w:num w:numId="27" w16cid:durableId="694965891">
    <w:abstractNumId w:val="14"/>
  </w:num>
  <w:num w:numId="28" w16cid:durableId="1237090020">
    <w:abstractNumId w:val="10"/>
  </w:num>
  <w:num w:numId="29" w16cid:durableId="1778940898">
    <w:abstractNumId w:val="20"/>
  </w:num>
  <w:num w:numId="30" w16cid:durableId="141891681">
    <w:abstractNumId w:val="27"/>
  </w:num>
  <w:num w:numId="31" w16cid:durableId="1154688434">
    <w:abstractNumId w:val="13"/>
  </w:num>
  <w:num w:numId="32" w16cid:durableId="706225867">
    <w:abstractNumId w:val="23"/>
  </w:num>
  <w:num w:numId="33" w16cid:durableId="497580177">
    <w:abstractNumId w:val="6"/>
  </w:num>
  <w:num w:numId="34" w16cid:durableId="332345207">
    <w:abstractNumId w:val="4"/>
  </w:num>
  <w:num w:numId="35" w16cid:durableId="1383094501">
    <w:abstractNumId w:val="1"/>
  </w:num>
  <w:num w:numId="36" w16cid:durableId="702095323">
    <w:abstractNumId w:val="15"/>
  </w:num>
  <w:num w:numId="37" w16cid:durableId="1025012719">
    <w:abstractNumId w:val="12"/>
  </w:num>
  <w:num w:numId="38" w16cid:durableId="1146554363">
    <w:abstractNumId w:val="33"/>
  </w:num>
  <w:num w:numId="39" w16cid:durableId="69877489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168"/>
    <w:rsid w:val="00096FA9"/>
    <w:rsid w:val="000A382A"/>
    <w:rsid w:val="000C5E19"/>
    <w:rsid w:val="00103D87"/>
    <w:rsid w:val="00114BAD"/>
    <w:rsid w:val="00117D15"/>
    <w:rsid w:val="001272D4"/>
    <w:rsid w:val="00130D74"/>
    <w:rsid w:val="00132383"/>
    <w:rsid w:val="00170093"/>
    <w:rsid w:val="001B0667"/>
    <w:rsid w:val="001B7EA4"/>
    <w:rsid w:val="001C3AE8"/>
    <w:rsid w:val="001D461A"/>
    <w:rsid w:val="00200905"/>
    <w:rsid w:val="0022097E"/>
    <w:rsid w:val="00230A46"/>
    <w:rsid w:val="00246729"/>
    <w:rsid w:val="002917C2"/>
    <w:rsid w:val="002F105B"/>
    <w:rsid w:val="00352327"/>
    <w:rsid w:val="00370A4E"/>
    <w:rsid w:val="003B2200"/>
    <w:rsid w:val="003D4D82"/>
    <w:rsid w:val="004906B8"/>
    <w:rsid w:val="005020A9"/>
    <w:rsid w:val="005E68AE"/>
    <w:rsid w:val="00645D1F"/>
    <w:rsid w:val="00674B96"/>
    <w:rsid w:val="00697F59"/>
    <w:rsid w:val="006B3FA1"/>
    <w:rsid w:val="006F6ADB"/>
    <w:rsid w:val="00723021"/>
    <w:rsid w:val="00724479"/>
    <w:rsid w:val="0079717D"/>
    <w:rsid w:val="00797196"/>
    <w:rsid w:val="007C163A"/>
    <w:rsid w:val="007E7A2F"/>
    <w:rsid w:val="00825370"/>
    <w:rsid w:val="0084144C"/>
    <w:rsid w:val="00862EF4"/>
    <w:rsid w:val="008669EB"/>
    <w:rsid w:val="00923A11"/>
    <w:rsid w:val="00936524"/>
    <w:rsid w:val="00947250"/>
    <w:rsid w:val="009876C5"/>
    <w:rsid w:val="00995E6F"/>
    <w:rsid w:val="00A43DA4"/>
    <w:rsid w:val="00A55DE6"/>
    <w:rsid w:val="00A56377"/>
    <w:rsid w:val="00A70750"/>
    <w:rsid w:val="00A83F88"/>
    <w:rsid w:val="00AB20BF"/>
    <w:rsid w:val="00AD2757"/>
    <w:rsid w:val="00AD67FF"/>
    <w:rsid w:val="00AE24B7"/>
    <w:rsid w:val="00B211CD"/>
    <w:rsid w:val="00B25168"/>
    <w:rsid w:val="00B44931"/>
    <w:rsid w:val="00BD67A0"/>
    <w:rsid w:val="00BE2A4B"/>
    <w:rsid w:val="00BE5D2A"/>
    <w:rsid w:val="00C053BA"/>
    <w:rsid w:val="00C42DA4"/>
    <w:rsid w:val="00CA350F"/>
    <w:rsid w:val="00CE0BE9"/>
    <w:rsid w:val="00CE1780"/>
    <w:rsid w:val="00CE4976"/>
    <w:rsid w:val="00D41E6C"/>
    <w:rsid w:val="00D42E27"/>
    <w:rsid w:val="00D805C0"/>
    <w:rsid w:val="00D831EE"/>
    <w:rsid w:val="00DE3186"/>
    <w:rsid w:val="00EA2239"/>
    <w:rsid w:val="00EA6BC0"/>
    <w:rsid w:val="00EC3DEA"/>
    <w:rsid w:val="00EC7690"/>
    <w:rsid w:val="00F5528A"/>
    <w:rsid w:val="00F64126"/>
    <w:rsid w:val="00FB2554"/>
    <w:rsid w:val="00FD1D50"/>
    <w:rsid w:val="00FE2696"/>
    <w:rsid w:val="00FE3EC1"/>
    <w:rsid w:val="00FF6AD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17B7EB3"/>
  <w15:docId w15:val="{03B5B5E4-1B54-4BFB-AB9D-2B415214C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1A0"/>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A7661"/>
    <w:pPr>
      <w:keepNext/>
      <w:keepLines/>
      <w:spacing w:before="240"/>
      <w:jc w:val="center"/>
      <w:outlineLvl w:val="0"/>
    </w:pPr>
    <w:rPr>
      <w:rFonts w:eastAsiaTheme="majorEastAsia" w:cstheme="majorBidi"/>
      <w:b/>
      <w:color w:val="000000" w:themeColor="text1"/>
      <w:szCs w:val="32"/>
    </w:rPr>
  </w:style>
  <w:style w:type="paragraph" w:styleId="2">
    <w:name w:val="heading 2"/>
    <w:basedOn w:val="a"/>
    <w:next w:val="a"/>
    <w:link w:val="20"/>
    <w:uiPriority w:val="9"/>
    <w:unhideWhenUsed/>
    <w:qFormat/>
    <w:rsid w:val="008D2BF4"/>
    <w:pPr>
      <w:keepNext/>
      <w:keepLines/>
      <w:spacing w:before="40"/>
      <w:outlineLvl w:val="1"/>
    </w:pPr>
    <w:rPr>
      <w:rFonts w:eastAsiaTheme="majorEastAsia" w:cstheme="majorBidi"/>
      <w:b/>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DC2599"/>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6"/>
    <w:uiPriority w:val="99"/>
    <w:qFormat/>
    <w:rsid w:val="00DC2599"/>
    <w:rPr>
      <w:rFonts w:ascii="Times New Roman" w:eastAsia="Times New Roman" w:hAnsi="Times New Roman" w:cs="Times New Roman"/>
      <w:sz w:val="24"/>
      <w:szCs w:val="24"/>
      <w:lang w:eastAsia="ru-RU"/>
    </w:rPr>
  </w:style>
  <w:style w:type="character" w:styleId="a7">
    <w:name w:val="Hyperlink"/>
    <w:basedOn w:val="a0"/>
    <w:uiPriority w:val="99"/>
    <w:unhideWhenUsed/>
    <w:rsid w:val="00DC6C6D"/>
    <w:rPr>
      <w:color w:val="0563C1" w:themeColor="hyperlink"/>
      <w:u w:val="single"/>
    </w:rPr>
  </w:style>
  <w:style w:type="character" w:customStyle="1" w:styleId="10">
    <w:name w:val="Заголовок 1 Знак"/>
    <w:basedOn w:val="a0"/>
    <w:link w:val="1"/>
    <w:uiPriority w:val="9"/>
    <w:qFormat/>
    <w:rsid w:val="00FA7661"/>
    <w:rPr>
      <w:rFonts w:ascii="Times New Roman" w:eastAsiaTheme="majorEastAsia" w:hAnsi="Times New Roman" w:cstheme="majorBidi"/>
      <w:b/>
      <w:color w:val="000000" w:themeColor="text1"/>
      <w:sz w:val="24"/>
      <w:szCs w:val="32"/>
      <w:lang w:eastAsia="ru-RU"/>
    </w:rPr>
  </w:style>
  <w:style w:type="character" w:customStyle="1" w:styleId="a8">
    <w:name w:val="Текст сноски Знак"/>
    <w:basedOn w:val="a0"/>
    <w:link w:val="a9"/>
    <w:uiPriority w:val="99"/>
    <w:semiHidden/>
    <w:qFormat/>
    <w:rsid w:val="006D51CC"/>
    <w:rPr>
      <w:rFonts w:ascii="Times New Roman" w:eastAsia="Times New Roman" w:hAnsi="Times New Roman" w:cs="Times New Roman"/>
      <w:sz w:val="20"/>
      <w:szCs w:val="20"/>
      <w:lang w:eastAsia="ru-RU"/>
    </w:rPr>
  </w:style>
  <w:style w:type="character" w:customStyle="1" w:styleId="user">
    <w:name w:val="Символ сноски (user)"/>
    <w:basedOn w:val="a0"/>
    <w:uiPriority w:val="99"/>
    <w:semiHidden/>
    <w:unhideWhenUsed/>
    <w:qFormat/>
    <w:rsid w:val="006D51CC"/>
    <w:rPr>
      <w:vertAlign w:val="superscript"/>
    </w:rPr>
  </w:style>
  <w:style w:type="character" w:customStyle="1" w:styleId="aa">
    <w:name w:val="Символ сноски"/>
    <w:qFormat/>
    <w:rPr>
      <w:vertAlign w:val="superscript"/>
    </w:rPr>
  </w:style>
  <w:style w:type="character" w:styleId="ab">
    <w:name w:val="footnote reference"/>
    <w:rPr>
      <w:vertAlign w:val="superscript"/>
    </w:rPr>
  </w:style>
  <w:style w:type="character" w:customStyle="1" w:styleId="ac">
    <w:name w:val="Абзац списка Знак"/>
    <w:basedOn w:val="a0"/>
    <w:link w:val="ad"/>
    <w:uiPriority w:val="34"/>
    <w:qFormat/>
    <w:rsid w:val="00EE104C"/>
    <w:rPr>
      <w:rFonts w:ascii="Times New Roman" w:eastAsia="Times New Roman" w:hAnsi="Times New Roman" w:cs="Times New Roman"/>
      <w:sz w:val="24"/>
      <w:szCs w:val="24"/>
      <w:lang w:eastAsia="ru-RU"/>
    </w:rPr>
  </w:style>
  <w:style w:type="character" w:customStyle="1" w:styleId="ae">
    <w:name w:val="Заголовок Знак"/>
    <w:basedOn w:val="a0"/>
    <w:link w:val="af"/>
    <w:uiPriority w:val="10"/>
    <w:qFormat/>
    <w:rsid w:val="00FA7661"/>
    <w:rPr>
      <w:rFonts w:ascii="Times New Roman" w:eastAsiaTheme="majorEastAsia" w:hAnsi="Times New Roman" w:cstheme="majorBidi"/>
      <w:b/>
      <w:spacing w:val="-10"/>
      <w:kern w:val="2"/>
      <w:sz w:val="24"/>
      <w:szCs w:val="56"/>
      <w:lang w:eastAsia="ru-RU"/>
    </w:rPr>
  </w:style>
  <w:style w:type="character" w:customStyle="1" w:styleId="20">
    <w:name w:val="Заголовок 2 Знак"/>
    <w:basedOn w:val="a0"/>
    <w:link w:val="2"/>
    <w:uiPriority w:val="9"/>
    <w:qFormat/>
    <w:rsid w:val="008D2BF4"/>
    <w:rPr>
      <w:rFonts w:ascii="Times New Roman" w:eastAsiaTheme="majorEastAsia" w:hAnsi="Times New Roman" w:cstheme="majorBidi"/>
      <w:b/>
      <w:sz w:val="24"/>
      <w:szCs w:val="26"/>
      <w:lang w:eastAsia="ru-RU"/>
    </w:rPr>
  </w:style>
  <w:style w:type="character" w:styleId="af0">
    <w:name w:val="annotation reference"/>
    <w:basedOn w:val="a0"/>
    <w:uiPriority w:val="99"/>
    <w:semiHidden/>
    <w:unhideWhenUsed/>
    <w:qFormat/>
    <w:rsid w:val="006A2C1E"/>
    <w:rPr>
      <w:sz w:val="16"/>
      <w:szCs w:val="16"/>
    </w:rPr>
  </w:style>
  <w:style w:type="character" w:customStyle="1" w:styleId="af1">
    <w:name w:val="Текст примечания Знак"/>
    <w:basedOn w:val="a0"/>
    <w:link w:val="af2"/>
    <w:uiPriority w:val="99"/>
    <w:qFormat/>
    <w:rsid w:val="006A2C1E"/>
    <w:rPr>
      <w:rFonts w:ascii="Times New Roman" w:eastAsia="Times New Roman" w:hAnsi="Times New Roman" w:cs="Times New Roman"/>
      <w:sz w:val="20"/>
      <w:szCs w:val="20"/>
      <w:lang w:eastAsia="ru-RU"/>
    </w:rPr>
  </w:style>
  <w:style w:type="character" w:customStyle="1" w:styleId="af3">
    <w:name w:val="Тема примечания Знак"/>
    <w:basedOn w:val="af1"/>
    <w:link w:val="af4"/>
    <w:uiPriority w:val="99"/>
    <w:semiHidden/>
    <w:qFormat/>
    <w:rsid w:val="006A2C1E"/>
    <w:rPr>
      <w:rFonts w:ascii="Times New Roman" w:eastAsia="Times New Roman" w:hAnsi="Times New Roman" w:cs="Times New Roman"/>
      <w:b/>
      <w:bCs/>
      <w:sz w:val="20"/>
      <w:szCs w:val="20"/>
      <w:lang w:eastAsia="ru-RU"/>
    </w:rPr>
  </w:style>
  <w:style w:type="character" w:customStyle="1" w:styleId="11">
    <w:name w:val="Неразрешенное упоминание1"/>
    <w:basedOn w:val="a0"/>
    <w:uiPriority w:val="99"/>
    <w:semiHidden/>
    <w:unhideWhenUsed/>
    <w:qFormat/>
    <w:rsid w:val="00FA72B8"/>
    <w:rPr>
      <w:color w:val="605E5C"/>
      <w:shd w:val="clear" w:color="auto" w:fill="E1DFDD"/>
    </w:rPr>
  </w:style>
  <w:style w:type="character" w:styleId="af5">
    <w:name w:val="Emphasis"/>
    <w:basedOn w:val="a0"/>
    <w:uiPriority w:val="20"/>
    <w:qFormat/>
    <w:rsid w:val="00A55761"/>
    <w:rPr>
      <w:i/>
      <w:iCs/>
    </w:rPr>
  </w:style>
  <w:style w:type="character" w:customStyle="1" w:styleId="af6">
    <w:name w:val="Текст выноски Знак"/>
    <w:basedOn w:val="a0"/>
    <w:link w:val="af7"/>
    <w:uiPriority w:val="99"/>
    <w:semiHidden/>
    <w:qFormat/>
    <w:rsid w:val="00726C3F"/>
    <w:rPr>
      <w:rFonts w:ascii="Segoe UI" w:eastAsia="Times New Roman" w:hAnsi="Segoe UI" w:cs="Segoe UI"/>
      <w:sz w:val="18"/>
      <w:szCs w:val="18"/>
      <w:lang w:eastAsia="ru-RU"/>
    </w:rPr>
  </w:style>
  <w:style w:type="character" w:styleId="af8">
    <w:name w:val="FollowedHyperlink"/>
    <w:basedOn w:val="a0"/>
    <w:uiPriority w:val="99"/>
    <w:semiHidden/>
    <w:unhideWhenUsed/>
    <w:rsid w:val="002E7270"/>
    <w:rPr>
      <w:color w:val="954F72" w:themeColor="followedHyperlink"/>
      <w:u w:val="single"/>
    </w:rPr>
  </w:style>
  <w:style w:type="character" w:customStyle="1" w:styleId="21">
    <w:name w:val="Неразрешенное упоминание2"/>
    <w:basedOn w:val="a0"/>
    <w:uiPriority w:val="99"/>
    <w:semiHidden/>
    <w:unhideWhenUsed/>
    <w:qFormat/>
    <w:rsid w:val="00B97F26"/>
    <w:rPr>
      <w:color w:val="605E5C"/>
      <w:shd w:val="clear" w:color="auto" w:fill="E1DFDD"/>
    </w:rPr>
  </w:style>
  <w:style w:type="character" w:customStyle="1" w:styleId="user0">
    <w:name w:val="Ссылка указателя (user)"/>
    <w:qFormat/>
  </w:style>
  <w:style w:type="character" w:customStyle="1" w:styleId="af9">
    <w:name w:val="Ссылка указателя"/>
    <w:qFormat/>
  </w:style>
  <w:style w:type="paragraph" w:styleId="af">
    <w:name w:val="Title"/>
    <w:basedOn w:val="a"/>
    <w:next w:val="afa"/>
    <w:link w:val="ae"/>
    <w:uiPriority w:val="10"/>
    <w:qFormat/>
    <w:rsid w:val="00FA7661"/>
    <w:pPr>
      <w:contextualSpacing/>
      <w:jc w:val="center"/>
    </w:pPr>
    <w:rPr>
      <w:rFonts w:eastAsiaTheme="majorEastAsia" w:cstheme="majorBidi"/>
      <w:b/>
      <w:spacing w:val="-10"/>
      <w:kern w:val="2"/>
      <w:szCs w:val="56"/>
    </w:rPr>
  </w:style>
  <w:style w:type="paragraph" w:styleId="afa">
    <w:name w:val="Body Text"/>
    <w:basedOn w:val="a"/>
    <w:pPr>
      <w:spacing w:after="140" w:line="276" w:lineRule="auto"/>
    </w:pPr>
  </w:style>
  <w:style w:type="paragraph" w:styleId="afb">
    <w:name w:val="List"/>
    <w:basedOn w:val="afa"/>
  </w:style>
  <w:style w:type="paragraph" w:styleId="afc">
    <w:name w:val="caption"/>
    <w:basedOn w:val="a"/>
    <w:qFormat/>
    <w:pPr>
      <w:suppressLineNumbers/>
      <w:spacing w:before="120" w:after="120"/>
    </w:pPr>
    <w:rPr>
      <w:i/>
      <w:iCs/>
    </w:rPr>
  </w:style>
  <w:style w:type="paragraph" w:styleId="afd">
    <w:name w:val="index heading"/>
    <w:basedOn w:val="user1"/>
  </w:style>
  <w:style w:type="paragraph" w:customStyle="1" w:styleId="user1">
    <w:name w:val="Заголовок (user)"/>
    <w:basedOn w:val="a"/>
    <w:next w:val="afa"/>
    <w:qFormat/>
    <w:pPr>
      <w:keepNext/>
      <w:spacing w:before="240" w:after="120"/>
    </w:pPr>
    <w:rPr>
      <w:rFonts w:ascii="Carlito" w:eastAsia="DejaVu Sans" w:hAnsi="Carlito" w:cs="DejaVu Sans"/>
      <w:sz w:val="28"/>
      <w:szCs w:val="28"/>
    </w:rPr>
  </w:style>
  <w:style w:type="paragraph" w:customStyle="1" w:styleId="user2">
    <w:name w:val="Указатель (user)"/>
    <w:basedOn w:val="a"/>
    <w:qFormat/>
    <w:pPr>
      <w:suppressLineNumbers/>
    </w:pPr>
  </w:style>
  <w:style w:type="paragraph" w:styleId="ad">
    <w:name w:val="List Paragraph"/>
    <w:basedOn w:val="a"/>
    <w:link w:val="ac"/>
    <w:uiPriority w:val="34"/>
    <w:qFormat/>
    <w:rsid w:val="007847F7"/>
    <w:pPr>
      <w:ind w:left="720"/>
      <w:contextualSpacing/>
    </w:pPr>
  </w:style>
  <w:style w:type="paragraph" w:customStyle="1" w:styleId="HeaderandFooter">
    <w:name w:val="Header and Footer"/>
    <w:basedOn w:val="a"/>
    <w:qFormat/>
  </w:style>
  <w:style w:type="paragraph" w:styleId="a4">
    <w:name w:val="header"/>
    <w:basedOn w:val="a"/>
    <w:link w:val="a3"/>
    <w:uiPriority w:val="99"/>
    <w:unhideWhenUsed/>
    <w:rsid w:val="00DC2599"/>
    <w:pPr>
      <w:tabs>
        <w:tab w:val="center" w:pos="4677"/>
        <w:tab w:val="right" w:pos="9355"/>
      </w:tabs>
    </w:pPr>
  </w:style>
  <w:style w:type="paragraph" w:styleId="a6">
    <w:name w:val="footer"/>
    <w:basedOn w:val="a"/>
    <w:link w:val="a5"/>
    <w:uiPriority w:val="99"/>
    <w:unhideWhenUsed/>
    <w:rsid w:val="00DC2599"/>
    <w:pPr>
      <w:tabs>
        <w:tab w:val="center" w:pos="4677"/>
        <w:tab w:val="right" w:pos="9355"/>
      </w:tabs>
    </w:pPr>
  </w:style>
  <w:style w:type="paragraph" w:styleId="12">
    <w:name w:val="toc 1"/>
    <w:basedOn w:val="a"/>
    <w:next w:val="a"/>
    <w:autoRedefine/>
    <w:uiPriority w:val="39"/>
    <w:unhideWhenUsed/>
    <w:rsid w:val="00873EF5"/>
    <w:pPr>
      <w:tabs>
        <w:tab w:val="right" w:leader="dot" w:pos="10065"/>
      </w:tabs>
      <w:spacing w:after="100"/>
      <w:ind w:left="567" w:hanging="283"/>
    </w:pPr>
  </w:style>
  <w:style w:type="paragraph" w:styleId="22">
    <w:name w:val="toc 2"/>
    <w:basedOn w:val="a"/>
    <w:next w:val="a"/>
    <w:autoRedefine/>
    <w:uiPriority w:val="39"/>
    <w:unhideWhenUsed/>
    <w:rsid w:val="00324846"/>
    <w:pPr>
      <w:tabs>
        <w:tab w:val="right" w:leader="dot" w:pos="10065"/>
      </w:tabs>
      <w:spacing w:after="100"/>
      <w:ind w:left="567"/>
    </w:pPr>
  </w:style>
  <w:style w:type="paragraph" w:styleId="a9">
    <w:name w:val="footnote text"/>
    <w:basedOn w:val="a"/>
    <w:link w:val="a8"/>
    <w:uiPriority w:val="99"/>
    <w:semiHidden/>
    <w:unhideWhenUsed/>
    <w:rsid w:val="006D51CC"/>
    <w:rPr>
      <w:sz w:val="20"/>
      <w:szCs w:val="20"/>
    </w:rPr>
  </w:style>
  <w:style w:type="paragraph" w:customStyle="1" w:styleId="Default">
    <w:name w:val="Default"/>
    <w:qFormat/>
    <w:rsid w:val="002F7BBB"/>
    <w:rPr>
      <w:rFonts w:ascii="Times New Roman" w:eastAsia="Calibri" w:hAnsi="Times New Roman" w:cs="Times New Roman"/>
      <w:color w:val="000000"/>
      <w:sz w:val="24"/>
      <w:szCs w:val="24"/>
    </w:rPr>
  </w:style>
  <w:style w:type="paragraph" w:styleId="af2">
    <w:name w:val="annotation text"/>
    <w:basedOn w:val="a"/>
    <w:link w:val="af1"/>
    <w:uiPriority w:val="99"/>
    <w:unhideWhenUsed/>
    <w:rsid w:val="006A2C1E"/>
    <w:rPr>
      <w:sz w:val="20"/>
      <w:szCs w:val="20"/>
    </w:rPr>
  </w:style>
  <w:style w:type="paragraph" w:styleId="af4">
    <w:name w:val="annotation subject"/>
    <w:basedOn w:val="af2"/>
    <w:next w:val="af2"/>
    <w:link w:val="af3"/>
    <w:uiPriority w:val="99"/>
    <w:semiHidden/>
    <w:unhideWhenUsed/>
    <w:qFormat/>
    <w:rsid w:val="006A2C1E"/>
    <w:rPr>
      <w:b/>
      <w:bCs/>
    </w:rPr>
  </w:style>
  <w:style w:type="paragraph" w:styleId="afe">
    <w:name w:val="Revision"/>
    <w:uiPriority w:val="99"/>
    <w:semiHidden/>
    <w:qFormat/>
    <w:rsid w:val="0003189D"/>
    <w:rPr>
      <w:rFonts w:ascii="Times New Roman" w:eastAsia="Times New Roman" w:hAnsi="Times New Roman" w:cs="Times New Roman"/>
      <w:sz w:val="24"/>
      <w:szCs w:val="24"/>
      <w:lang w:eastAsia="ru-RU"/>
    </w:rPr>
  </w:style>
  <w:style w:type="paragraph" w:styleId="af7">
    <w:name w:val="Balloon Text"/>
    <w:basedOn w:val="a"/>
    <w:link w:val="af6"/>
    <w:uiPriority w:val="99"/>
    <w:semiHidden/>
    <w:unhideWhenUsed/>
    <w:qFormat/>
    <w:rsid w:val="00726C3F"/>
    <w:rPr>
      <w:rFonts w:ascii="Segoe UI" w:hAnsi="Segoe UI" w:cs="Segoe UI"/>
      <w:sz w:val="18"/>
      <w:szCs w:val="18"/>
    </w:rPr>
  </w:style>
  <w:style w:type="paragraph" w:customStyle="1" w:styleId="3">
    <w:name w:val="Базовый А3"/>
    <w:basedOn w:val="a"/>
    <w:next w:val="a"/>
    <w:qFormat/>
    <w:rsid w:val="000B5A1D"/>
    <w:pPr>
      <w:numPr>
        <w:numId w:val="10"/>
      </w:numPr>
      <w:ind w:left="993" w:hanging="284"/>
      <w:jc w:val="both"/>
    </w:pPr>
    <w:rPr>
      <w:rFonts w:eastAsiaTheme="minorHAnsi" w:cstheme="minorBidi"/>
      <w:szCs w:val="22"/>
      <w:lang w:eastAsia="en-US"/>
    </w:rPr>
  </w:style>
  <w:style w:type="paragraph" w:styleId="aff">
    <w:name w:val="TOC Heading"/>
    <w:basedOn w:val="1"/>
    <w:next w:val="a"/>
    <w:uiPriority w:val="39"/>
    <w:unhideWhenUsed/>
    <w:qFormat/>
    <w:rsid w:val="00324846"/>
    <w:pPr>
      <w:spacing w:line="259" w:lineRule="auto"/>
      <w:jc w:val="left"/>
      <w:outlineLvl w:val="9"/>
    </w:pPr>
    <w:rPr>
      <w:rFonts w:asciiTheme="majorHAnsi" w:hAnsiTheme="majorHAnsi"/>
      <w:b w:val="0"/>
      <w:color w:val="2E74B5" w:themeColor="accent1" w:themeShade="BF"/>
      <w:sz w:val="32"/>
    </w:rPr>
  </w:style>
  <w:style w:type="paragraph" w:customStyle="1" w:styleId="user3">
    <w:name w:val="Содержимое врезки (user)"/>
    <w:basedOn w:val="a"/>
    <w:qFormat/>
  </w:style>
  <w:style w:type="paragraph" w:customStyle="1" w:styleId="aff0">
    <w:name w:val="Содержимое врезки"/>
    <w:basedOn w:val="a"/>
    <w:qFormat/>
  </w:style>
  <w:style w:type="numbering" w:customStyle="1" w:styleId="user4">
    <w:name w:val="Без списка (user)"/>
    <w:uiPriority w:val="99"/>
    <w:semiHidden/>
    <w:unhideWhenUsed/>
    <w:qFormat/>
  </w:style>
  <w:style w:type="character" w:styleId="aff1">
    <w:name w:val="Strong"/>
    <w:basedOn w:val="a0"/>
    <w:uiPriority w:val="22"/>
    <w:qFormat/>
    <w:rsid w:val="00EC3DEA"/>
    <w:rPr>
      <w:b/>
      <w:bCs/>
    </w:rPr>
  </w:style>
  <w:style w:type="paragraph" w:styleId="aff2">
    <w:name w:val="Normal (Web)"/>
    <w:basedOn w:val="a"/>
    <w:uiPriority w:val="99"/>
    <w:unhideWhenUsed/>
    <w:rsid w:val="00EC3DEA"/>
    <w:pPr>
      <w:suppressAutoHyphens w:val="0"/>
      <w:spacing w:before="100" w:beforeAutospacing="1" w:after="100" w:afterAutospacing="1"/>
    </w:pPr>
  </w:style>
  <w:style w:type="paragraph" w:styleId="aff3">
    <w:name w:val="No Spacing"/>
    <w:uiPriority w:val="1"/>
    <w:qFormat/>
    <w:rsid w:val="0082537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5A79A-3DBA-454F-8DD2-E2AE46EB5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5776</Words>
  <Characters>32924</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Щербак Татьяна Анатольевна</dc:creator>
  <dc:description/>
  <cp:lastModifiedBy>Тюмамбаева Рауза Куанышевна</cp:lastModifiedBy>
  <cp:revision>8</cp:revision>
  <dcterms:created xsi:type="dcterms:W3CDTF">2025-07-21T10:32:00Z</dcterms:created>
  <dcterms:modified xsi:type="dcterms:W3CDTF">2025-08-05T06:26:00Z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d43844d-2ea7-439e-adcc-bf1cfab92943_ActionId">
    <vt:lpwstr>0b2b9172-0879-46ab-bc78-2d247e68f236</vt:lpwstr>
  </property>
  <property fmtid="{D5CDD505-2E9C-101B-9397-08002B2CF9AE}" pid="3" name="MSIP_Label_1d43844d-2ea7-439e-adcc-bf1cfab92943_ContentBits">
    <vt:lpwstr>0</vt:lpwstr>
  </property>
  <property fmtid="{D5CDD505-2E9C-101B-9397-08002B2CF9AE}" pid="4" name="MSIP_Label_1d43844d-2ea7-439e-adcc-bf1cfab92943_Enabled">
    <vt:lpwstr>true</vt:lpwstr>
  </property>
  <property fmtid="{D5CDD505-2E9C-101B-9397-08002B2CF9AE}" pid="5" name="MSIP_Label_1d43844d-2ea7-439e-adcc-bf1cfab92943_Method">
    <vt:lpwstr>Standard</vt:lpwstr>
  </property>
  <property fmtid="{D5CDD505-2E9C-101B-9397-08002B2CF9AE}" pid="6" name="MSIP_Label_1d43844d-2ea7-439e-adcc-bf1cfab92943_Name">
    <vt:lpwstr>Базовая метка</vt:lpwstr>
  </property>
  <property fmtid="{D5CDD505-2E9C-101B-9397-08002B2CF9AE}" pid="7" name="MSIP_Label_1d43844d-2ea7-439e-adcc-bf1cfab92943_SetDate">
    <vt:lpwstr>2025-05-27T10:06:44Z</vt:lpwstr>
  </property>
  <property fmtid="{D5CDD505-2E9C-101B-9397-08002B2CF9AE}" pid="8" name="MSIP_Label_1d43844d-2ea7-439e-adcc-bf1cfab92943_SiteId">
    <vt:lpwstr>7f7b9357-9c44-4410-95df-2c59b7c1872b</vt:lpwstr>
  </property>
</Properties>
</file>