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91F" w14:textId="77777777" w:rsidR="00EB7A9E" w:rsidRDefault="00000000">
      <w:pPr>
        <w:spacing w:after="0" w:line="259" w:lineRule="auto"/>
        <w:ind w:left="221" w:right="0" w:firstLine="0"/>
        <w:jc w:val="center"/>
      </w:pPr>
      <w:r>
        <w:rPr>
          <w:b/>
        </w:rPr>
        <w:t xml:space="preserve">#IronCard </w:t>
      </w:r>
      <w:proofErr w:type="spellStart"/>
      <w:r>
        <w:rPr>
          <w:b/>
        </w:rPr>
        <w:t>өнімі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Кешбэк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</w:p>
    <w:p w14:paraId="2BDEA12D" w14:textId="77777777" w:rsidR="00EB7A9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6D9F904" w14:textId="77777777" w:rsidR="00EB7A9E" w:rsidRDefault="00000000">
      <w:pPr>
        <w:spacing w:after="10" w:line="259" w:lineRule="auto"/>
        <w:ind w:left="11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7C9D83" wp14:editId="2CB36DBA">
                <wp:extent cx="5846064" cy="2413649"/>
                <wp:effectExtent l="0" t="0" r="0" b="0"/>
                <wp:docPr id="8637" name="Group 8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6064" cy="2413649"/>
                          <a:chOff x="0" y="0"/>
                          <a:chExt cx="5846064" cy="2413649"/>
                        </a:xfrm>
                      </wpg:grpSpPr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1158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4790" y="1284618"/>
                            <a:ext cx="4351275" cy="1129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7" style="width:460.32pt;height:190.051pt;mso-position-horizontal-relative:char;mso-position-vertical-relative:line" coordsize="58460,24136">
                <v:shape id="Picture 383" style="position:absolute;width:43199;height:11581;left:0;top:0;" filled="f">
                  <v:imagedata r:id="rId7"/>
                </v:shape>
                <v:shape id="Picture 385" style="position:absolute;width:43512;height:11290;left:14947;top:12846;" filled="f">
                  <v:imagedata r:id="rId8"/>
                </v:shape>
              </v:group>
            </w:pict>
          </mc:Fallback>
        </mc:AlternateContent>
      </w:r>
    </w:p>
    <w:p w14:paraId="4332D4BC" w14:textId="77777777" w:rsidR="00EB7A9E" w:rsidRDefault="00000000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01818AD" w14:textId="77777777" w:rsidR="00EB7A9E" w:rsidRDefault="00000000">
      <w:pPr>
        <w:pStyle w:val="1"/>
        <w:tabs>
          <w:tab w:val="center" w:pos="2271"/>
        </w:tabs>
        <w:ind w:left="-15" w:firstLine="0"/>
      </w:pPr>
      <w:r>
        <w:rPr>
          <w:sz w:val="23"/>
        </w:rPr>
        <w:t>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бағдарламасы</w:t>
      </w:r>
      <w:proofErr w:type="spellEnd"/>
      <w:r>
        <w:t xml:space="preserve"> </w:t>
      </w:r>
    </w:p>
    <w:p w14:paraId="0777594D" w14:textId="77777777" w:rsidR="00EB7A9E" w:rsidRDefault="00000000">
      <w:pPr>
        <w:ind w:left="-5" w:right="0"/>
      </w:pPr>
      <w:r>
        <w:t xml:space="preserve">1.1.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клиенттердің</w:t>
      </w:r>
      <w:proofErr w:type="spellEnd"/>
      <w:r>
        <w:t xml:space="preserve"> Банк </w:t>
      </w:r>
      <w:proofErr w:type="spellStart"/>
      <w:r>
        <w:t>өнімдеріне</w:t>
      </w:r>
      <w:proofErr w:type="spellEnd"/>
      <w:r>
        <w:t xml:space="preserve"> </w:t>
      </w:r>
      <w:proofErr w:type="spellStart"/>
      <w:r>
        <w:t>бейілділігін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картасын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токенін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клиенттерді</w:t>
      </w:r>
      <w:proofErr w:type="spellEnd"/>
      <w:r>
        <w:t xml:space="preserve"> </w:t>
      </w:r>
      <w:proofErr w:type="spellStart"/>
      <w:r>
        <w:t>ынталандыруға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</w:t>
      </w:r>
    </w:p>
    <w:p w14:paraId="08A99826" w14:textId="77777777" w:rsidR="00EB7A9E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D3E8D9E" w14:textId="77777777" w:rsidR="00EB7A9E" w:rsidRDefault="00000000">
      <w:pPr>
        <w:numPr>
          <w:ilvl w:val="0"/>
          <w:numId w:val="1"/>
        </w:numPr>
        <w:spacing w:after="16" w:line="266" w:lineRule="auto"/>
        <w:ind w:right="4587"/>
        <w:jc w:val="left"/>
      </w:pPr>
      <w:proofErr w:type="spellStart"/>
      <w:r>
        <w:rPr>
          <w:b/>
        </w:rPr>
        <w:t>Терминдер</w:t>
      </w:r>
      <w:proofErr w:type="spellEnd"/>
      <w:r>
        <w:rPr>
          <w:b/>
        </w:rPr>
        <w:t xml:space="preserve"> мен </w:t>
      </w:r>
      <w:proofErr w:type="spellStart"/>
      <w:r>
        <w:rPr>
          <w:b/>
        </w:rPr>
        <w:t>түсініктемелер</w:t>
      </w:r>
      <w:proofErr w:type="spellEnd"/>
      <w:r>
        <w:rPr>
          <w:b/>
        </w:rPr>
        <w:t xml:space="preserve"> </w:t>
      </w: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– «Банк ЦентрКредит» АҚ. </w:t>
      </w:r>
    </w:p>
    <w:p w14:paraId="13CBDFDC" w14:textId="77777777" w:rsidR="00EB7A9E" w:rsidRDefault="00000000">
      <w:pPr>
        <w:ind w:left="-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– клиентке </w:t>
      </w:r>
      <w:proofErr w:type="spellStart"/>
      <w:r>
        <w:t>картаны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>/</w:t>
      </w:r>
      <w:proofErr w:type="spellStart"/>
      <w:r>
        <w:t>токенін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сомасынан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ПОС- терминал </w:t>
      </w:r>
      <w:proofErr w:type="spellStart"/>
      <w:r>
        <w:t>немесе</w:t>
      </w:r>
      <w:proofErr w:type="spellEnd"/>
      <w:r>
        <w:t xml:space="preserve"> 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. </w:t>
      </w:r>
    </w:p>
    <w:p w14:paraId="0F57BF56" w14:textId="77777777" w:rsidR="00EB7A9E" w:rsidRDefault="00000000">
      <w:pPr>
        <w:spacing w:after="16" w:line="266" w:lineRule="auto"/>
        <w:ind w:left="-5" w:right="4587"/>
        <w:jc w:val="left"/>
      </w:pPr>
      <w:r>
        <w:rPr>
          <w:b/>
        </w:rPr>
        <w:t xml:space="preserve">1 Кешбэк = 1 </w:t>
      </w:r>
      <w:proofErr w:type="spellStart"/>
      <w:r>
        <w:rPr>
          <w:b/>
        </w:rPr>
        <w:t>теңге</w:t>
      </w:r>
      <w:proofErr w:type="spellEnd"/>
      <w:r>
        <w:rPr>
          <w:b/>
        </w:rPr>
        <w:t xml:space="preserve">. </w:t>
      </w:r>
    </w:p>
    <w:p w14:paraId="3453F380" w14:textId="77777777" w:rsidR="00EB7A9E" w:rsidRDefault="00000000">
      <w:pPr>
        <w:ind w:left="-5" w:right="0"/>
      </w:pPr>
      <w:r>
        <w:rPr>
          <w:sz w:val="23"/>
        </w:rPr>
        <w:t>2.3.</w:t>
      </w:r>
      <w:r>
        <w:rPr>
          <w:rFonts w:ascii="Arial" w:eastAsia="Arial" w:hAnsi="Arial" w:cs="Arial"/>
          <w:sz w:val="23"/>
        </w:rPr>
        <w:t xml:space="preserve"> </w:t>
      </w:r>
      <w:r>
        <w:t>MSC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таңбалы</w:t>
      </w:r>
      <w:proofErr w:type="spellEnd"/>
      <w:r>
        <w:t xml:space="preserve"> код. </w:t>
      </w:r>
    </w:p>
    <w:p w14:paraId="13B14441" w14:textId="77777777" w:rsidR="00EB7A9E" w:rsidRDefault="00000000">
      <w:pPr>
        <w:ind w:left="-5" w:right="0"/>
      </w:pPr>
      <w:r>
        <w:rPr>
          <w:sz w:val="23"/>
        </w:rPr>
        <w:t>2.4.</w:t>
      </w:r>
      <w:r>
        <w:rPr>
          <w:rFonts w:ascii="Arial" w:eastAsia="Arial" w:hAnsi="Arial" w:cs="Arial"/>
          <w:sz w:val="23"/>
        </w:rPr>
        <w:t xml:space="preserve"> </w:t>
      </w:r>
      <w:r>
        <w:t>BCC.KZ-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–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қолданбасында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 мен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</w:p>
    <w:p w14:paraId="1294216C" w14:textId="77777777" w:rsidR="00EB7A9E" w:rsidRDefault="00000000">
      <w:pPr>
        <w:ind w:left="-5" w:right="0"/>
      </w:pPr>
      <w:r>
        <w:rPr>
          <w:sz w:val="23"/>
        </w:rPr>
        <w:t>2.5.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Серіктес</w:t>
      </w:r>
      <w:proofErr w:type="spellEnd"/>
      <w:r>
        <w:t xml:space="preserve"> – </w:t>
      </w:r>
      <w:proofErr w:type="spellStart"/>
      <w:r>
        <w:t>Банкпен</w:t>
      </w:r>
      <w:proofErr w:type="spellEnd"/>
      <w:r>
        <w:t xml:space="preserve"> </w:t>
      </w:r>
      <w:proofErr w:type="spellStart"/>
      <w:r>
        <w:t>ынтымақтаса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Клиентке кэшбек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компания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. </w:t>
      </w:r>
    </w:p>
    <w:p w14:paraId="57D2DB5D" w14:textId="77777777" w:rsidR="00EB7A9E" w:rsidRDefault="00000000">
      <w:pPr>
        <w:tabs>
          <w:tab w:val="center" w:pos="3646"/>
        </w:tabs>
        <w:ind w:left="-15" w:right="0" w:firstLine="0"/>
        <w:jc w:val="left"/>
      </w:pPr>
      <w:r>
        <w:rPr>
          <w:sz w:val="23"/>
        </w:rPr>
        <w:t>2.6.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spellStart"/>
      <w:r>
        <w:t>Серіктестік</w:t>
      </w:r>
      <w:proofErr w:type="spellEnd"/>
      <w:r>
        <w:t xml:space="preserve"> кэшбек – Банк </w:t>
      </w:r>
      <w:proofErr w:type="spellStart"/>
      <w:r>
        <w:t>серіктесі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кэшбек. </w:t>
      </w:r>
    </w:p>
    <w:p w14:paraId="4F36624A" w14:textId="77777777" w:rsidR="00EB7A9E" w:rsidRDefault="00000000">
      <w:pPr>
        <w:tabs>
          <w:tab w:val="center" w:pos="2931"/>
        </w:tabs>
        <w:ind w:left="-15" w:right="0" w:firstLine="0"/>
        <w:jc w:val="left"/>
      </w:pPr>
      <w:r>
        <w:rPr>
          <w:sz w:val="23"/>
        </w:rPr>
        <w:t>2.7.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spellStart"/>
      <w:r>
        <w:t>Банктік</w:t>
      </w:r>
      <w:proofErr w:type="spellEnd"/>
      <w:r>
        <w:t xml:space="preserve"> кэшбек – Банк </w:t>
      </w:r>
      <w:proofErr w:type="spellStart"/>
      <w:r>
        <w:t>ұсынатын</w:t>
      </w:r>
      <w:proofErr w:type="spellEnd"/>
      <w:r>
        <w:t xml:space="preserve"> кэшбек. </w:t>
      </w:r>
    </w:p>
    <w:p w14:paraId="7465931C" w14:textId="77777777" w:rsidR="00EB7A9E" w:rsidRDefault="00000000">
      <w:pPr>
        <w:ind w:left="-5" w:right="0"/>
      </w:pPr>
      <w:r>
        <w:rPr>
          <w:sz w:val="23"/>
        </w:rPr>
        <w:t>2.8.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Бонустық</w:t>
      </w:r>
      <w:proofErr w:type="spellEnd"/>
      <w:r>
        <w:t xml:space="preserve"> шот – Кешбэк </w:t>
      </w:r>
      <w:proofErr w:type="spellStart"/>
      <w:r>
        <w:t>есептеудi</w:t>
      </w:r>
      <w:proofErr w:type="spellEnd"/>
      <w:r>
        <w:t>/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әрбiр</w:t>
      </w:r>
      <w:proofErr w:type="spellEnd"/>
      <w:r>
        <w:t xml:space="preserve"> Клиент </w:t>
      </w:r>
      <w:proofErr w:type="spellStart"/>
      <w:r>
        <w:t>бойынша</w:t>
      </w:r>
      <w:proofErr w:type="spellEnd"/>
      <w:r>
        <w:t xml:space="preserve"> Банк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баланстан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шот. </w:t>
      </w:r>
    </w:p>
    <w:p w14:paraId="77C99E64" w14:textId="77777777" w:rsidR="00EB7A9E" w:rsidRDefault="00000000">
      <w:pPr>
        <w:ind w:left="-5" w:right="0"/>
      </w:pPr>
      <w:r>
        <w:rPr>
          <w:sz w:val="23"/>
        </w:rPr>
        <w:t>2.9.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Сауда </w:t>
      </w:r>
      <w:proofErr w:type="spellStart"/>
      <w:r>
        <w:t>жасау</w:t>
      </w:r>
      <w:proofErr w:type="spellEnd"/>
      <w:r>
        <w:t xml:space="preserve"> – ПОС-терминал/Интернет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тауарлар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</w:t>
      </w:r>
    </w:p>
    <w:p w14:paraId="0CCE6109" w14:textId="77777777" w:rsidR="00EB7A9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46D4FBD" w14:textId="77777777" w:rsidR="00EB7A9E" w:rsidRDefault="00000000">
      <w:pPr>
        <w:pStyle w:val="1"/>
        <w:tabs>
          <w:tab w:val="center" w:pos="1914"/>
        </w:tabs>
        <w:ind w:left="-15" w:firstLine="0"/>
      </w:pPr>
      <w:r>
        <w:rPr>
          <w:sz w:val="23"/>
        </w:rPr>
        <w:t>3.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түрлері</w:t>
      </w:r>
      <w:proofErr w:type="spellEnd"/>
      <w:r>
        <w:t xml:space="preserve"> </w:t>
      </w:r>
    </w:p>
    <w:p w14:paraId="5098EBB6" w14:textId="77777777" w:rsidR="00EB7A9E" w:rsidRDefault="00000000">
      <w:pPr>
        <w:ind w:left="-5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Кешбэк </w:t>
      </w:r>
      <w:proofErr w:type="spellStart"/>
      <w:r>
        <w:t>есептелетін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Visa </w:t>
      </w:r>
      <w:proofErr w:type="spellStart"/>
      <w:r>
        <w:t>және</w:t>
      </w:r>
      <w:proofErr w:type="spellEnd"/>
      <w:r>
        <w:t xml:space="preserve"> Mastercard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жүйелерінде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код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белгілейді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MCC 4511 – </w:t>
      </w:r>
      <w:proofErr w:type="spellStart"/>
      <w:r>
        <w:t>Авиажелілер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7011 – </w:t>
      </w:r>
      <w:proofErr w:type="spellStart"/>
      <w:r>
        <w:t>Отельдер</w:t>
      </w:r>
      <w:proofErr w:type="spellEnd"/>
      <w:r>
        <w:t xml:space="preserve">). </w:t>
      </w:r>
    </w:p>
    <w:p w14:paraId="15978E18" w14:textId="77777777" w:rsidR="00EB7A9E" w:rsidRDefault="00000000">
      <w:pPr>
        <w:ind w:left="-5" w:right="0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spellStart"/>
      <w:r>
        <w:t>Банкте</w:t>
      </w:r>
      <w:proofErr w:type="spellEnd"/>
      <w:r>
        <w:t xml:space="preserve"> # </w:t>
      </w:r>
      <w:proofErr w:type="spellStart"/>
      <w:r>
        <w:t>IronCard</w:t>
      </w:r>
      <w:proofErr w:type="spellEnd"/>
      <w:r>
        <w:t xml:space="preserve">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(</w:t>
      </w:r>
      <w:proofErr w:type="spellStart"/>
      <w:r>
        <w:t>Банктік</w:t>
      </w:r>
      <w:proofErr w:type="spellEnd"/>
      <w:r>
        <w:t xml:space="preserve"> кэшбек): </w:t>
      </w:r>
    </w:p>
    <w:tbl>
      <w:tblPr>
        <w:tblStyle w:val="TableGrid"/>
        <w:tblW w:w="9499" w:type="dxa"/>
        <w:tblInd w:w="31" w:type="dxa"/>
        <w:tblCellMar>
          <w:top w:w="24" w:type="dxa"/>
          <w:left w:w="154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4897"/>
        <w:gridCol w:w="4602"/>
      </w:tblGrid>
      <w:tr w:rsidR="00EB7A9E" w14:paraId="5778676B" w14:textId="77777777">
        <w:trPr>
          <w:trHeight w:val="624"/>
        </w:trPr>
        <w:tc>
          <w:tcPr>
            <w:tcW w:w="4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2F48D" w14:textId="77777777" w:rsidR="00EB7A9E" w:rsidRDefault="00000000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lastRenderedPageBreak/>
              <w:t xml:space="preserve">Кешбэк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CAA27" w14:textId="77777777" w:rsidR="00EB7A9E" w:rsidRDefault="00000000">
            <w:pPr>
              <w:spacing w:after="0" w:line="259" w:lineRule="auto"/>
              <w:ind w:left="1445" w:right="0" w:hanging="1378"/>
            </w:pPr>
            <w:proofErr w:type="spellStart"/>
            <w:r>
              <w:rPr>
                <w:b/>
              </w:rPr>
              <w:t>Сатып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алынған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тауар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сомасының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мөлшері</w:t>
            </w:r>
            <w:proofErr w:type="spellEnd"/>
            <w:r>
              <w:rPr>
                <w:b/>
              </w:rPr>
              <w:t xml:space="preserve">, % </w:t>
            </w:r>
          </w:p>
        </w:tc>
      </w:tr>
      <w:tr w:rsidR="00EB7A9E" w14:paraId="31BA6D93" w14:textId="77777777">
        <w:trPr>
          <w:trHeight w:val="648"/>
        </w:trPr>
        <w:tc>
          <w:tcPr>
            <w:tcW w:w="4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45820" w14:textId="77777777" w:rsidR="00EB7A9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Жеке </w:t>
            </w:r>
            <w:proofErr w:type="spellStart"/>
            <w:r>
              <w:t>саудаңыз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Кешбэк (</w:t>
            </w:r>
            <w:proofErr w:type="spellStart"/>
            <w:r>
              <w:t>базалық</w:t>
            </w:r>
            <w:proofErr w:type="spellEnd"/>
            <w:r>
              <w:t xml:space="preserve">) 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59ED0" w14:textId="77777777" w:rsidR="00EB7A9E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2% </w:t>
            </w:r>
          </w:p>
        </w:tc>
      </w:tr>
      <w:tr w:rsidR="00EB7A9E" w14:paraId="2C43E27E" w14:textId="77777777">
        <w:trPr>
          <w:trHeight w:val="1131"/>
        </w:trPr>
        <w:tc>
          <w:tcPr>
            <w:tcW w:w="4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A7C57" w14:textId="77777777" w:rsidR="00EB7A9E" w:rsidRDefault="00000000">
            <w:pPr>
              <w:spacing w:after="0" w:line="259" w:lineRule="auto"/>
              <w:ind w:left="0" w:right="59" w:firstLine="0"/>
            </w:pPr>
            <w:r>
              <w:t xml:space="preserve">Жеке </w:t>
            </w:r>
            <w:proofErr w:type="spellStart"/>
            <w:r>
              <w:t>саудаңыз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Кешбэк (1 млн </w:t>
            </w:r>
            <w:proofErr w:type="spellStart"/>
            <w:r>
              <w:t>теңгеден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 6 млн </w:t>
            </w:r>
            <w:proofErr w:type="spellStart"/>
            <w:r>
              <w:t>теңгеге</w:t>
            </w:r>
            <w:proofErr w:type="spellEnd"/>
            <w:r>
              <w:t xml:space="preserve"> </w:t>
            </w:r>
            <w:proofErr w:type="spellStart"/>
            <w:r>
              <w:t>дейін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</w:t>
            </w:r>
            <w:proofErr w:type="spellStart"/>
            <w:r>
              <w:t>салымы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кезде</w:t>
            </w:r>
            <w:proofErr w:type="spellEnd"/>
            <w:r>
              <w:t>)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0EA93" w14:textId="77777777" w:rsidR="00EB7A9E" w:rsidRDefault="00000000">
            <w:pPr>
              <w:spacing w:after="0" w:line="259" w:lineRule="auto"/>
              <w:ind w:left="0" w:right="41" w:firstLine="0"/>
              <w:jc w:val="center"/>
            </w:pPr>
            <w:r>
              <w:t>+1% (</w:t>
            </w:r>
            <w:proofErr w:type="spellStart"/>
            <w:r>
              <w:t>барлығы</w:t>
            </w:r>
            <w:proofErr w:type="spellEnd"/>
            <w:r>
              <w:t xml:space="preserve"> 3%) </w:t>
            </w:r>
          </w:p>
        </w:tc>
      </w:tr>
      <w:tr w:rsidR="00EB7A9E" w14:paraId="5027F9C8" w14:textId="77777777">
        <w:trPr>
          <w:trHeight w:val="1022"/>
        </w:trPr>
        <w:tc>
          <w:tcPr>
            <w:tcW w:w="4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4D47D" w14:textId="77777777" w:rsidR="00EB7A9E" w:rsidRDefault="00000000">
            <w:pPr>
              <w:spacing w:after="0" w:line="259" w:lineRule="auto"/>
              <w:ind w:left="0" w:right="0" w:firstLine="0"/>
            </w:pPr>
            <w:r>
              <w:t xml:space="preserve">Жеке </w:t>
            </w:r>
            <w:proofErr w:type="spellStart"/>
            <w:r>
              <w:t>саудаңыз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Кешбэк (6 млн </w:t>
            </w:r>
            <w:proofErr w:type="spellStart"/>
            <w:r>
              <w:t>теңгеден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</w:t>
            </w:r>
            <w:proofErr w:type="spellStart"/>
            <w:r>
              <w:t>салымы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кезде</w:t>
            </w:r>
            <w:proofErr w:type="spellEnd"/>
            <w:r>
              <w:t>)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89BA6" w14:textId="77777777" w:rsidR="00EB7A9E" w:rsidRDefault="00000000">
            <w:pPr>
              <w:spacing w:after="0" w:line="259" w:lineRule="auto"/>
              <w:ind w:left="0" w:right="41" w:firstLine="0"/>
              <w:jc w:val="center"/>
            </w:pPr>
            <w:r>
              <w:t>+2% (</w:t>
            </w:r>
            <w:proofErr w:type="spellStart"/>
            <w:r>
              <w:t>барлығы</w:t>
            </w:r>
            <w:proofErr w:type="spellEnd"/>
            <w:r>
              <w:t xml:space="preserve"> 4%) </w:t>
            </w:r>
          </w:p>
        </w:tc>
      </w:tr>
    </w:tbl>
    <w:p w14:paraId="28A65CA0" w14:textId="1B7485FA" w:rsidR="00EB7A9E" w:rsidRDefault="00000000">
      <w:pPr>
        <w:ind w:left="-5" w:right="0"/>
      </w:pPr>
      <w:r>
        <w:t xml:space="preserve">1 </w:t>
      </w:r>
      <w:proofErr w:type="spellStart"/>
      <w:r>
        <w:t>Салымдар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: </w:t>
      </w:r>
      <w:proofErr w:type="spellStart"/>
      <w:r w:rsidR="00C11ADA" w:rsidRPr="00C11ADA">
        <w:t>Менің</w:t>
      </w:r>
      <w:proofErr w:type="spellEnd"/>
      <w:r w:rsidR="00C11ADA" w:rsidRPr="00C11ADA">
        <w:t xml:space="preserve"> </w:t>
      </w:r>
      <w:proofErr w:type="spellStart"/>
      <w:r w:rsidR="00C11ADA" w:rsidRPr="00C11ADA">
        <w:t>мақсатым</w:t>
      </w:r>
      <w:proofErr w:type="spellEnd"/>
      <w:r w:rsidR="00C11ADA">
        <w:t xml:space="preserve">, </w:t>
      </w:r>
      <w:r>
        <w:t xml:space="preserve">Юбилейный, </w:t>
      </w:r>
      <w:proofErr w:type="spellStart"/>
      <w:r>
        <w:t>Рақмет</w:t>
      </w:r>
      <w:proofErr w:type="spellEnd"/>
      <w:r>
        <w:t xml:space="preserve"> (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құқығынсыз</w:t>
      </w:r>
      <w:proofErr w:type="spellEnd"/>
      <w:r>
        <w:t xml:space="preserve">), </w:t>
      </w:r>
      <w:proofErr w:type="spellStart"/>
      <w:r>
        <w:t>Рақмет</w:t>
      </w:r>
      <w:proofErr w:type="spellEnd"/>
      <w:r>
        <w:t>+ (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құқығымен</w:t>
      </w:r>
      <w:proofErr w:type="spellEnd"/>
      <w:r>
        <w:t xml:space="preserve">), Чемпион, Эталон, Эталон+, </w:t>
      </w:r>
      <w:proofErr w:type="spellStart"/>
      <w:r>
        <w:t>Біздің</w:t>
      </w:r>
      <w:proofErr w:type="spellEnd"/>
      <w:r>
        <w:t xml:space="preserve"> депозит, Прогресс, </w:t>
      </w:r>
      <w:proofErr w:type="spellStart"/>
      <w:r>
        <w:t>Икемді</w:t>
      </w:r>
      <w:proofErr w:type="spellEnd"/>
      <w:r>
        <w:t xml:space="preserve">, </w:t>
      </w:r>
      <w:proofErr w:type="spellStart"/>
      <w:r>
        <w:t>Сенімді</w:t>
      </w:r>
      <w:proofErr w:type="spellEnd"/>
      <w:r>
        <w:t xml:space="preserve">. </w:t>
      </w:r>
    </w:p>
    <w:p w14:paraId="113C4058" w14:textId="77777777" w:rsidR="00EB7A9E" w:rsidRDefault="00000000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4F7D17C1" w14:textId="77777777" w:rsidR="00EB7A9E" w:rsidRDefault="00000000">
      <w:pPr>
        <w:tabs>
          <w:tab w:val="center" w:pos="1348"/>
        </w:tabs>
        <w:ind w:left="-15" w:right="0" w:firstLine="0"/>
        <w:jc w:val="left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Егер </w:t>
      </w:r>
      <w:proofErr w:type="spellStart"/>
      <w:r>
        <w:t>сізде</w:t>
      </w:r>
      <w:proofErr w:type="spellEnd"/>
      <w:r>
        <w:t xml:space="preserve">: </w:t>
      </w:r>
    </w:p>
    <w:p w14:paraId="0D053244" w14:textId="77777777" w:rsidR="00EB7A9E" w:rsidRDefault="00000000">
      <w:pPr>
        <w:numPr>
          <w:ilvl w:val="0"/>
          <w:numId w:val="2"/>
        </w:numPr>
        <w:ind w:right="0" w:hanging="447"/>
      </w:pPr>
      <w:r>
        <w:t xml:space="preserve">#IronCard </w:t>
      </w:r>
      <w:proofErr w:type="spellStart"/>
      <w:r>
        <w:t>және</w:t>
      </w:r>
      <w:proofErr w:type="spellEnd"/>
      <w:r>
        <w:t xml:space="preserve"> #rentacar </w:t>
      </w:r>
      <w:proofErr w:type="spellStart"/>
      <w:r>
        <w:t>карталарының</w:t>
      </w:r>
      <w:proofErr w:type="spellEnd"/>
      <w:r>
        <w:t xml:space="preserve"> </w:t>
      </w:r>
      <w:proofErr w:type="spellStart"/>
      <w:r>
        <w:t>екеуі</w:t>
      </w:r>
      <w:proofErr w:type="spellEnd"/>
      <w:r>
        <w:t xml:space="preserve"> де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лимит 100 000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20 000 </w:t>
      </w:r>
      <w:proofErr w:type="spellStart"/>
      <w:r>
        <w:t>теңгеге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#rentacar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автокөліктң</w:t>
      </w:r>
      <w:proofErr w:type="spellEnd"/>
      <w:r>
        <w:t xml:space="preserve">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жинақтауға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14:paraId="1B660471" w14:textId="77777777" w:rsidR="00EB7A9E" w:rsidRDefault="00000000">
      <w:pPr>
        <w:numPr>
          <w:ilvl w:val="1"/>
          <w:numId w:val="3"/>
        </w:numPr>
        <w:ind w:right="0" w:hanging="728"/>
      </w:pPr>
      <w:proofErr w:type="spellStart"/>
      <w:r>
        <w:t>Айына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сомасы</w:t>
      </w:r>
      <w:proofErr w:type="spellEnd"/>
      <w:r>
        <w:t xml:space="preserve"> – 100 000 </w:t>
      </w:r>
      <w:proofErr w:type="spellStart"/>
      <w:r>
        <w:t>теңге</w:t>
      </w:r>
      <w:proofErr w:type="spellEnd"/>
      <w:r>
        <w:t xml:space="preserve"> </w:t>
      </w:r>
    </w:p>
    <w:p w14:paraId="33C51D32" w14:textId="77777777" w:rsidR="00EB7A9E" w:rsidRDefault="00000000">
      <w:pPr>
        <w:numPr>
          <w:ilvl w:val="1"/>
          <w:numId w:val="3"/>
        </w:numPr>
        <w:ind w:right="0" w:hanging="728"/>
      </w:pPr>
      <w:r>
        <w:t xml:space="preserve">Клиент </w:t>
      </w:r>
      <w:proofErr w:type="spellStart"/>
      <w:r>
        <w:t>Серіктестен</w:t>
      </w:r>
      <w:proofErr w:type="spellEnd"/>
      <w:r>
        <w:t xml:space="preserve"> </w:t>
      </w:r>
      <w:proofErr w:type="spellStart"/>
      <w:r>
        <w:t>Серіктестік</w:t>
      </w:r>
      <w:proofErr w:type="spellEnd"/>
      <w:r>
        <w:t xml:space="preserve"> кэшбек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, клиентке </w:t>
      </w:r>
      <w:proofErr w:type="spellStart"/>
      <w:r>
        <w:t>кэшбектің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сомасы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(</w:t>
      </w:r>
      <w:proofErr w:type="spellStart"/>
      <w:r>
        <w:t>Серіктестік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кэшбек), </w:t>
      </w:r>
      <w:proofErr w:type="spellStart"/>
      <w:r>
        <w:t>Серіктестік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кэшбек </w:t>
      </w:r>
      <w:proofErr w:type="spellStart"/>
      <w:r>
        <w:t>сомалары</w:t>
      </w:r>
      <w:proofErr w:type="spellEnd"/>
      <w:r>
        <w:t xml:space="preserve"> </w:t>
      </w:r>
      <w:proofErr w:type="spellStart"/>
      <w:r>
        <w:t>қосылмайды</w:t>
      </w:r>
      <w:proofErr w:type="spellEnd"/>
      <w:r>
        <w:t xml:space="preserve">. </w:t>
      </w:r>
    </w:p>
    <w:p w14:paraId="2BFDDF35" w14:textId="77777777" w:rsidR="00EB7A9E" w:rsidRDefault="00000000">
      <w:pPr>
        <w:numPr>
          <w:ilvl w:val="1"/>
          <w:numId w:val="3"/>
        </w:numPr>
        <w:ind w:right="0" w:hanging="728"/>
      </w:pPr>
      <w:r>
        <w:t xml:space="preserve">Банк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есептемеуге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: </w:t>
      </w:r>
    </w:p>
    <w:p w14:paraId="4568B824" w14:textId="77777777" w:rsidR="00EB7A9E" w:rsidRDefault="00000000">
      <w:pPr>
        <w:numPr>
          <w:ilvl w:val="0"/>
          <w:numId w:val="2"/>
        </w:numPr>
        <w:ind w:right="0" w:hanging="447"/>
      </w:pPr>
      <w:r>
        <w:t xml:space="preserve">BCC.KZ </w:t>
      </w:r>
      <w:proofErr w:type="spellStart"/>
      <w:r>
        <w:t>қосымшасында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; </w:t>
      </w:r>
    </w:p>
    <w:p w14:paraId="5D6D0648" w14:textId="77777777" w:rsidR="00EB7A9E" w:rsidRDefault="00000000">
      <w:pPr>
        <w:numPr>
          <w:ilvl w:val="0"/>
          <w:numId w:val="2"/>
        </w:numPr>
        <w:ind w:right="0" w:hanging="447"/>
      </w:pPr>
      <w:proofErr w:type="spellStart"/>
      <w:r>
        <w:t>қаржы</w:t>
      </w:r>
      <w:proofErr w:type="spellEnd"/>
      <w:r>
        <w:t xml:space="preserve"> </w:t>
      </w:r>
      <w:r>
        <w:tab/>
      </w:r>
      <w:proofErr w:type="spellStart"/>
      <w:r>
        <w:t>институттарының</w:t>
      </w:r>
      <w:proofErr w:type="spellEnd"/>
      <w:r>
        <w:t>/</w:t>
      </w:r>
      <w:proofErr w:type="spellStart"/>
      <w:r>
        <w:t>кредиттік</w:t>
      </w:r>
      <w:proofErr w:type="spellEnd"/>
      <w:r>
        <w:t xml:space="preserve"> </w:t>
      </w:r>
      <w:r>
        <w:tab/>
      </w:r>
      <w:proofErr w:type="spellStart"/>
      <w:r>
        <w:t>ұйымдардың</w:t>
      </w:r>
      <w:proofErr w:type="spellEnd"/>
      <w:r>
        <w:t xml:space="preserve"> </w:t>
      </w:r>
      <w:r>
        <w:tab/>
      </w:r>
      <w:proofErr w:type="spellStart"/>
      <w:r>
        <w:t>банкоматтарынан</w:t>
      </w:r>
      <w:proofErr w:type="spellEnd"/>
      <w:r>
        <w:t xml:space="preserve"> </w:t>
      </w:r>
      <w:r>
        <w:tab/>
      </w:r>
      <w:proofErr w:type="spellStart"/>
      <w:r>
        <w:t>және</w:t>
      </w:r>
      <w:proofErr w:type="spellEnd"/>
      <w:r>
        <w:t xml:space="preserve"> </w:t>
      </w:r>
    </w:p>
    <w:p w14:paraId="3A96E3C1" w14:textId="77777777" w:rsidR="00EB7A9E" w:rsidRDefault="00000000">
      <w:pPr>
        <w:ind w:left="-5" w:right="0"/>
      </w:pP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(MCC 6011, 6010); </w:t>
      </w:r>
    </w:p>
    <w:p w14:paraId="49AC36A8" w14:textId="77777777" w:rsidR="00EB7A9E" w:rsidRDefault="00000000">
      <w:pPr>
        <w:numPr>
          <w:ilvl w:val="0"/>
          <w:numId w:val="2"/>
        </w:numPr>
        <w:ind w:right="0" w:hanging="447"/>
      </w:pPr>
      <w:proofErr w:type="spellStart"/>
      <w:r>
        <w:t>ақша</w:t>
      </w:r>
      <w:proofErr w:type="spellEnd"/>
      <w:r>
        <w:t xml:space="preserve"> </w:t>
      </w:r>
      <w:proofErr w:type="spellStart"/>
      <w:r>
        <w:t>аударымдары</w:t>
      </w:r>
      <w:proofErr w:type="spellEnd"/>
      <w:r>
        <w:t xml:space="preserve">,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,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ұйымдары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4829, 6531-6540, 6012, 6022-6028, 8931, 9211, 9222, 9311, 9399, 9402, 9405 </w:t>
      </w:r>
      <w:proofErr w:type="spellStart"/>
      <w:r>
        <w:t>және</w:t>
      </w:r>
      <w:proofErr w:type="spellEnd"/>
      <w:r>
        <w:t xml:space="preserve"> операция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аударуға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MCC); </w:t>
      </w:r>
    </w:p>
    <w:p w14:paraId="6EB9B92C" w14:textId="77777777" w:rsidR="00EB7A9E" w:rsidRDefault="00000000">
      <w:pPr>
        <w:numPr>
          <w:ilvl w:val="0"/>
          <w:numId w:val="2"/>
        </w:numPr>
        <w:ind w:right="0" w:hanging="447"/>
      </w:pPr>
      <w:r>
        <w:t xml:space="preserve">телекоммуникация </w:t>
      </w:r>
      <w:proofErr w:type="spellStart"/>
      <w:r>
        <w:t>қызметтері</w:t>
      </w:r>
      <w:proofErr w:type="spellEnd"/>
      <w:r>
        <w:t xml:space="preserve">,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интернет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төлемі</w:t>
      </w:r>
      <w:proofErr w:type="spellEnd"/>
      <w:r>
        <w:t xml:space="preserve"> (MCC 4812, 4813, 4814, 4815, 4821, 4899, 7375); </w:t>
      </w:r>
    </w:p>
    <w:p w14:paraId="6601CDA2" w14:textId="77777777" w:rsidR="00EB7A9E" w:rsidRDefault="00000000">
      <w:pPr>
        <w:numPr>
          <w:ilvl w:val="0"/>
          <w:numId w:val="2"/>
        </w:numPr>
        <w:ind w:right="0" w:hanging="447"/>
      </w:pP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4900); </w:t>
      </w:r>
    </w:p>
    <w:p w14:paraId="6E3ABB68" w14:textId="77777777" w:rsidR="00EB7A9E" w:rsidRDefault="00000000">
      <w:pPr>
        <w:numPr>
          <w:ilvl w:val="0"/>
          <w:numId w:val="2"/>
        </w:numPr>
        <w:ind w:right="0" w:hanging="447"/>
      </w:pPr>
      <w:proofErr w:type="spellStart"/>
      <w:r>
        <w:t>ұтыс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бәс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, казино </w:t>
      </w:r>
      <w:proofErr w:type="spellStart"/>
      <w:r>
        <w:t>фишкаларын</w:t>
      </w:r>
      <w:proofErr w:type="spellEnd"/>
      <w:r>
        <w:t xml:space="preserve">,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,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пайлармен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мәмілелердің</w:t>
      </w:r>
      <w:proofErr w:type="spellEnd"/>
      <w:r>
        <w:t xml:space="preserve"> </w:t>
      </w:r>
      <w:proofErr w:type="spellStart"/>
      <w:r>
        <w:t>төлемін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ломбардтар</w:t>
      </w:r>
      <w:proofErr w:type="spellEnd"/>
      <w:r>
        <w:t xml:space="preserve"> (MCC 5933, 6050, 6051, 6211, 6529, 6530, 7800, 7801, 7802, 7995, 9406, 9223, 9754); - </w:t>
      </w:r>
      <w:proofErr w:type="spellStart"/>
      <w:r>
        <w:t>көтерме</w:t>
      </w:r>
      <w:proofErr w:type="spellEnd"/>
      <w:r>
        <w:t>/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сауда-саттық</w:t>
      </w:r>
      <w:proofErr w:type="spellEnd"/>
      <w:r>
        <w:t xml:space="preserve"> (MCC 5046 –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, 5099 -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сөндіргіштер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хабарлағыштар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басқалар</w:t>
      </w:r>
      <w:proofErr w:type="spellEnd"/>
      <w:r>
        <w:t xml:space="preserve">, 5172 – </w:t>
      </w:r>
      <w:proofErr w:type="spellStart"/>
      <w:r>
        <w:t>мұнай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мұнай</w:t>
      </w:r>
      <w:proofErr w:type="spellEnd"/>
      <w:r>
        <w:t xml:space="preserve"> </w:t>
      </w:r>
      <w:proofErr w:type="spellStart"/>
      <w:r>
        <w:t>өнімдері</w:t>
      </w:r>
      <w:proofErr w:type="spellEnd"/>
      <w:r>
        <w:t xml:space="preserve">, </w:t>
      </w:r>
    </w:p>
    <w:p w14:paraId="5E3472C6" w14:textId="77777777" w:rsidR="00EB7A9E" w:rsidRDefault="00000000">
      <w:pPr>
        <w:ind w:left="-5" w:right="0"/>
      </w:pPr>
      <w:r>
        <w:t xml:space="preserve">5715 – алкоголь, 5993 -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дүкендері</w:t>
      </w:r>
      <w:proofErr w:type="spellEnd"/>
      <w:r>
        <w:t xml:space="preserve">); </w:t>
      </w:r>
    </w:p>
    <w:p w14:paraId="1D2408A6" w14:textId="77777777" w:rsidR="00EB7A9E" w:rsidRDefault="00000000">
      <w:pPr>
        <w:ind w:left="-5" w:right="0"/>
      </w:pPr>
      <w:r>
        <w:rPr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басқа</w:t>
      </w:r>
      <w:proofErr w:type="spellEnd"/>
      <w:r>
        <w:t xml:space="preserve"> (MCC 4816 –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/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5960 – </w:t>
      </w:r>
      <w:proofErr w:type="spellStart"/>
      <w:r>
        <w:t>пошталық</w:t>
      </w:r>
      <w:proofErr w:type="spellEnd"/>
      <w:r>
        <w:t xml:space="preserve"> </w:t>
      </w:r>
      <w:proofErr w:type="spellStart"/>
      <w:r>
        <w:t>жөнелтілім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,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хабарландырулар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, 6300 –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, андеррайтинг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сыйлықақы</w:t>
      </w:r>
      <w:proofErr w:type="spellEnd"/>
      <w:r>
        <w:t xml:space="preserve">, 6399 – </w:t>
      </w:r>
      <w:proofErr w:type="spellStart"/>
      <w:r>
        <w:t>сақтандыру</w:t>
      </w:r>
      <w:proofErr w:type="spellEnd"/>
      <w:r>
        <w:t xml:space="preserve">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6513 –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мен </w:t>
      </w:r>
      <w:proofErr w:type="spellStart"/>
      <w:r>
        <w:t>менеджерлер</w:t>
      </w:r>
      <w:proofErr w:type="spellEnd"/>
      <w:r>
        <w:t xml:space="preserve"> –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7321 - </w:t>
      </w:r>
      <w:proofErr w:type="spellStart"/>
      <w:r>
        <w:t>несиелік</w:t>
      </w:r>
      <w:proofErr w:type="spellEnd"/>
      <w:r>
        <w:t xml:space="preserve"> </w:t>
      </w:r>
      <w:proofErr w:type="spellStart"/>
      <w:r>
        <w:t>бюролар</w:t>
      </w:r>
      <w:proofErr w:type="spellEnd"/>
      <w:r>
        <w:t xml:space="preserve">, 7261 -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крематорийлер</w:t>
      </w:r>
      <w:proofErr w:type="spellEnd"/>
      <w:r>
        <w:t xml:space="preserve">, 7273 – </w:t>
      </w:r>
      <w:proofErr w:type="spellStart"/>
      <w:r>
        <w:t>танысу</w:t>
      </w:r>
      <w:proofErr w:type="spellEnd"/>
      <w:r>
        <w:t xml:space="preserve">, 7276 </w:t>
      </w:r>
      <w:r>
        <w:rPr>
          <w:sz w:val="23"/>
        </w:rPr>
        <w:t>–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7299 – </w:t>
      </w:r>
      <w:proofErr w:type="spellStart"/>
      <w:r>
        <w:t>басқа</w:t>
      </w:r>
      <w:proofErr w:type="spellEnd"/>
      <w:r>
        <w:t xml:space="preserve"> сервис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7311 – </w:t>
      </w:r>
      <w:proofErr w:type="spellStart"/>
      <w:r>
        <w:t>жарнама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(МСС 7372, 7392) –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интеграцияланған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lastRenderedPageBreak/>
        <w:t>қызметтері</w:t>
      </w:r>
      <w:proofErr w:type="spellEnd"/>
      <w:r>
        <w:t xml:space="preserve">, 7361 - </w:t>
      </w:r>
      <w:proofErr w:type="spellStart"/>
      <w:r>
        <w:t>жұмыспен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анықтамалық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7393 -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жинаушы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7399 </w:t>
      </w:r>
      <w:r>
        <w:rPr>
          <w:sz w:val="23"/>
        </w:rPr>
        <w:t>–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бизнес </w:t>
      </w:r>
      <w:proofErr w:type="spellStart"/>
      <w:r>
        <w:t>қызметтер</w:t>
      </w:r>
      <w:proofErr w:type="spellEnd"/>
      <w:r>
        <w:t xml:space="preserve">, 8661 -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0763 - </w:t>
      </w:r>
      <w:proofErr w:type="spellStart"/>
      <w:r>
        <w:t>ауылшаруашылық</w:t>
      </w:r>
      <w:proofErr w:type="spellEnd"/>
      <w:r>
        <w:t xml:space="preserve"> </w:t>
      </w:r>
      <w:proofErr w:type="spellStart"/>
      <w:r>
        <w:t>кооперативтері</w:t>
      </w:r>
      <w:proofErr w:type="spellEnd"/>
      <w:r>
        <w:t xml:space="preserve">, 8111 - </w:t>
      </w:r>
      <w:proofErr w:type="spellStart"/>
      <w:r>
        <w:t>адвокаттар</w:t>
      </w:r>
      <w:proofErr w:type="spellEnd"/>
      <w:r>
        <w:t xml:space="preserve">,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7277 - </w:t>
      </w:r>
      <w:proofErr w:type="spellStart"/>
      <w:r>
        <w:t>қарыздар</w:t>
      </w:r>
      <w:proofErr w:type="spellEnd"/>
      <w:r>
        <w:t xml:space="preserve">, </w:t>
      </w:r>
      <w:proofErr w:type="spellStart"/>
      <w:r>
        <w:t>неке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мәселелер-кеңес</w:t>
      </w:r>
      <w:proofErr w:type="spellEnd"/>
      <w:r>
        <w:t xml:space="preserve"> беру, 8651 -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8734 -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зертханалары</w:t>
      </w:r>
      <w:proofErr w:type="spellEnd"/>
      <w:r>
        <w:t xml:space="preserve"> (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), 8999 –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8398 – </w:t>
      </w:r>
      <w:proofErr w:type="spellStart"/>
      <w:r>
        <w:t>қайырымдылық</w:t>
      </w:r>
      <w:proofErr w:type="spellEnd"/>
      <w:r>
        <w:t xml:space="preserve">). </w:t>
      </w:r>
    </w:p>
    <w:p w14:paraId="0A6C7F4E" w14:textId="77777777" w:rsidR="00EB7A9E" w:rsidRDefault="00000000">
      <w:pPr>
        <w:ind w:left="-5" w:right="0"/>
      </w:pPr>
      <w:r>
        <w:rPr>
          <w:sz w:val="23"/>
        </w:rPr>
        <w:t>3.7.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    Банк     </w:t>
      </w:r>
      <w:proofErr w:type="spellStart"/>
      <w:r>
        <w:t>серіктестерімен</w:t>
      </w:r>
      <w:proofErr w:type="spellEnd"/>
      <w:r>
        <w:t xml:space="preserve">     </w:t>
      </w:r>
      <w:proofErr w:type="spellStart"/>
      <w:r>
        <w:t>және</w:t>
      </w:r>
      <w:proofErr w:type="spellEnd"/>
      <w:r>
        <w:t xml:space="preserve">      </w:t>
      </w:r>
      <w:proofErr w:type="spellStart"/>
      <w:r>
        <w:t>Серіктестік</w:t>
      </w:r>
      <w:proofErr w:type="spellEnd"/>
      <w:r>
        <w:t xml:space="preserve">      кэшбек </w:t>
      </w:r>
      <w:proofErr w:type="spellStart"/>
      <w:r>
        <w:t>мөлшерімен</w:t>
      </w:r>
      <w:proofErr w:type="spellEnd"/>
      <w:r>
        <w:t xml:space="preserve"> </w:t>
      </w:r>
      <w:hyperlink r:id="rId9">
        <w:r>
          <w:t>https://club.bcc.kz/</w:t>
        </w:r>
      </w:hyperlink>
      <w:hyperlink r:id="rId10">
        <w:r>
          <w:t xml:space="preserve"> </w:t>
        </w:r>
      </w:hyperlink>
      <w:proofErr w:type="spellStart"/>
      <w:r>
        <w:t>сайтында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 </w:t>
      </w:r>
      <w:proofErr w:type="spellStart"/>
      <w:r>
        <w:t>шыға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картамен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жасағаныңыз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де </w:t>
      </w:r>
      <w:proofErr w:type="spellStart"/>
      <w:r>
        <w:t>жеңілдіктер</w:t>
      </w:r>
      <w:proofErr w:type="spellEnd"/>
      <w:r>
        <w:t xml:space="preserve"> мен </w:t>
      </w:r>
      <w:proofErr w:type="spellStart"/>
      <w:r>
        <w:t>Серіктестердің</w:t>
      </w:r>
      <w:proofErr w:type="spellEnd"/>
      <w:r>
        <w:t xml:space="preserve"> </w:t>
      </w:r>
      <w:hyperlink r:id="rId11">
        <w:r>
          <w:t>https://club.bcc.kz/</w:t>
        </w:r>
      </w:hyperlink>
      <w:hyperlink r:id="rId12">
        <w:r>
          <w:t xml:space="preserve"> </w:t>
        </w:r>
      </w:hyperlink>
      <w:proofErr w:type="spellStart"/>
      <w:r>
        <w:t>және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Visa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hyperlink r:id="rId13">
        <w:r>
          <w:t>https://www.visa.com.kz/ru_kz/visa</w:t>
        </w:r>
      </w:hyperlink>
      <w:hyperlink r:id="rId14">
        <w:r>
          <w:t>-</w:t>
        </w:r>
      </w:hyperlink>
      <w:hyperlink r:id="rId15">
        <w:r>
          <w:t>offers</w:t>
        </w:r>
      </w:hyperlink>
      <w:hyperlink r:id="rId16">
        <w:r>
          <w:t>-</w:t>
        </w:r>
      </w:hyperlink>
      <w:hyperlink r:id="rId17">
        <w:r>
          <w:t>and</w:t>
        </w:r>
      </w:hyperlink>
      <w:hyperlink r:id="rId18">
        <w:r>
          <w:t>-</w:t>
        </w:r>
      </w:hyperlink>
      <w:hyperlink r:id="rId19">
        <w:r>
          <w:t>perks/</w:t>
        </w:r>
      </w:hyperlink>
      <w:hyperlink r:id="rId20">
        <w:r>
          <w:t xml:space="preserve"> </w:t>
        </w:r>
      </w:hyperlink>
      <w:proofErr w:type="spellStart"/>
      <w:r>
        <w:t>арнайы</w:t>
      </w:r>
      <w:proofErr w:type="spellEnd"/>
      <w:r>
        <w:t xml:space="preserve"> </w:t>
      </w:r>
      <w:proofErr w:type="spellStart"/>
      <w:r>
        <w:t>ұсыныстары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Жеңілдікке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өзін</w:t>
      </w:r>
      <w:proofErr w:type="spellEnd"/>
      <w:r>
        <w:t xml:space="preserve"> #IronCard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сәйкестендіріп</w:t>
      </w:r>
      <w:proofErr w:type="spellEnd"/>
      <w:r>
        <w:t xml:space="preserve">, осы </w:t>
      </w:r>
      <w:proofErr w:type="spellStart"/>
      <w:r>
        <w:t>картаны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қолдануы</w:t>
      </w:r>
      <w:proofErr w:type="spellEnd"/>
      <w:r>
        <w:t xml:space="preserve"> керек. </w:t>
      </w:r>
    </w:p>
    <w:p w14:paraId="7F5C933F" w14:textId="77777777" w:rsidR="00EB7A9E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9D5C5" w14:textId="77777777" w:rsidR="00EB7A9E" w:rsidRDefault="00000000">
      <w:pPr>
        <w:pStyle w:val="1"/>
        <w:tabs>
          <w:tab w:val="center" w:pos="2046"/>
        </w:tabs>
        <w:ind w:left="-15" w:firstLine="0"/>
      </w:pPr>
      <w:r>
        <w:rPr>
          <w:sz w:val="23"/>
        </w:rPr>
        <w:t>4.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қағидалар</w:t>
      </w:r>
      <w:proofErr w:type="spellEnd"/>
      <w:r>
        <w:t xml:space="preserve"> </w:t>
      </w:r>
    </w:p>
    <w:p w14:paraId="4BDAA009" w14:textId="77777777" w:rsidR="00EB7A9E" w:rsidRDefault="00000000">
      <w:pPr>
        <w:ind w:left="-5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(Банк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нүктесінен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растауды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  <w:proofErr w:type="spellStart"/>
      <w:r>
        <w:t>Әдетте</w:t>
      </w:r>
      <w:proofErr w:type="spellEnd"/>
      <w:r>
        <w:t xml:space="preserve"> 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Клиент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1-7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</w:p>
    <w:p w14:paraId="1D3A5F53" w14:textId="77777777" w:rsidR="00EB7A9E" w:rsidRDefault="00000000">
      <w:pPr>
        <w:ind w:left="-5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Банк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жеткізілген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. </w:t>
      </w:r>
    </w:p>
    <w:p w14:paraId="6367B5C3" w14:textId="77777777" w:rsidR="00EB7A9E" w:rsidRDefault="00000000">
      <w:pPr>
        <w:ind w:left="-5" w:right="0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Кешбэк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біржақты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өзгерте</w:t>
      </w:r>
      <w:proofErr w:type="spellEnd"/>
      <w:r>
        <w:t>/</w:t>
      </w:r>
      <w:proofErr w:type="spellStart"/>
      <w:r>
        <w:t>толықтыра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14:paraId="1CB4E60A" w14:textId="77777777" w:rsidR="00EB7A9E" w:rsidRDefault="00000000">
      <w:pPr>
        <w:ind w:left="-5" w:right="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Банк клиентке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шешімінің</w:t>
      </w:r>
      <w:proofErr w:type="spellEnd"/>
      <w:r>
        <w:t xml:space="preserve"> </w:t>
      </w:r>
      <w:proofErr w:type="spellStart"/>
      <w:r>
        <w:t>себебін</w:t>
      </w:r>
      <w:proofErr w:type="spellEnd"/>
      <w:r>
        <w:t xml:space="preserve"> </w:t>
      </w:r>
      <w:proofErr w:type="spellStart"/>
      <w:r>
        <w:t>хабарламауға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</w:p>
    <w:p w14:paraId="62E9CC32" w14:textId="77777777" w:rsidR="00EB7A9E" w:rsidRDefault="00000000">
      <w:pPr>
        <w:ind w:left="-5" w:right="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>Банк эквайер-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сауда-сервистік</w:t>
      </w:r>
      <w:proofErr w:type="spellEnd"/>
      <w:r>
        <w:t xml:space="preserve"> </w:t>
      </w:r>
      <w:proofErr w:type="spellStart"/>
      <w:r>
        <w:t>орындарға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MCC </w:t>
      </w:r>
      <w:proofErr w:type="spellStart"/>
      <w:r>
        <w:t>кодын</w:t>
      </w:r>
      <w:proofErr w:type="spellEnd"/>
      <w:r>
        <w:t xml:space="preserve"> </w:t>
      </w:r>
      <w:proofErr w:type="spellStart"/>
      <w:r>
        <w:t>бермегені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</w:p>
    <w:p w14:paraId="3E4B8DB4" w14:textId="77777777" w:rsidR="00EB7A9E" w:rsidRDefault="00000000">
      <w:pPr>
        <w:ind w:left="-5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әрбiр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айлық</w:t>
      </w:r>
      <w:proofErr w:type="spellEnd"/>
      <w:r>
        <w:t xml:space="preserve"> Кешбэк </w:t>
      </w:r>
      <w:proofErr w:type="spellStart"/>
      <w:r>
        <w:t>лимитi</w:t>
      </w:r>
      <w:proofErr w:type="spellEnd"/>
      <w:r>
        <w:t xml:space="preserve"> </w:t>
      </w:r>
      <w:proofErr w:type="spellStart"/>
      <w:r>
        <w:t>шегiнде</w:t>
      </w:r>
      <w:proofErr w:type="spellEnd"/>
      <w:r>
        <w:t xml:space="preserve"> </w:t>
      </w:r>
      <w:proofErr w:type="spellStart"/>
      <w:r>
        <w:t>есептеледi</w:t>
      </w:r>
      <w:proofErr w:type="spellEnd"/>
      <w:r>
        <w:t xml:space="preserve">. Кешбэк банк Сауда-сервис </w:t>
      </w:r>
      <w:proofErr w:type="spellStart"/>
      <w:r>
        <w:t>нүктесі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растамасын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лимитіне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</w:p>
    <w:p w14:paraId="73880FAC" w14:textId="77777777" w:rsidR="00EB7A9E" w:rsidRDefault="00000000">
      <w:pPr>
        <w:ind w:left="-5" w:right="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500 (бес </w:t>
      </w:r>
      <w:proofErr w:type="spellStart"/>
      <w:r>
        <w:t>жүз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жинаса</w:t>
      </w:r>
      <w:proofErr w:type="spellEnd"/>
      <w:r>
        <w:t xml:space="preserve">,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сома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</w:t>
      </w:r>
    </w:p>
    <w:p w14:paraId="45CE3F28" w14:textId="77777777" w:rsidR="00EB7A9E" w:rsidRDefault="00000000">
      <w:pPr>
        <w:ind w:left="-5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Жинақталған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кемінде</w:t>
      </w:r>
      <w:proofErr w:type="spellEnd"/>
      <w:r>
        <w:t xml:space="preserve"> 2 000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</w:p>
    <w:p w14:paraId="1459BD2C" w14:textId="77777777" w:rsidR="00EB7A9E" w:rsidRDefault="00000000">
      <w:pPr>
        <w:ind w:left="-5" w:right="0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Кэшбэгін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12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пайдаланбаса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</w:t>
      </w:r>
    </w:p>
    <w:p w14:paraId="51BAFA14" w14:textId="77777777" w:rsidR="00EB7A9E" w:rsidRDefault="00000000">
      <w:pPr>
        <w:ind w:left="-5" w:right="0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Валютамен</w:t>
      </w:r>
      <w:proofErr w:type="spellEnd"/>
      <w:r>
        <w:t xml:space="preserve"> транзакция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Банк </w:t>
      </w:r>
      <w:proofErr w:type="spellStart"/>
      <w:r>
        <w:t>Кешбэкті</w:t>
      </w:r>
      <w:proofErr w:type="spellEnd"/>
      <w:r>
        <w:t xml:space="preserve"> транзакция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сәтте</w:t>
      </w:r>
      <w:proofErr w:type="spellEnd"/>
      <w:r>
        <w:t xml:space="preserve"> ҚР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сәтте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</w:t>
      </w:r>
    </w:p>
    <w:p w14:paraId="0D18BAD8" w14:textId="77777777" w:rsidR="00EB7A9E" w:rsidRDefault="00000000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8C4A153" w14:textId="77777777" w:rsidR="00EB7A9E" w:rsidRDefault="00000000">
      <w:pPr>
        <w:pStyle w:val="1"/>
        <w:tabs>
          <w:tab w:val="center" w:pos="1836"/>
        </w:tabs>
        <w:ind w:left="-15" w:firstLine="0"/>
      </w:pPr>
      <w:r>
        <w:rPr>
          <w:sz w:val="23"/>
        </w:rPr>
        <w:t>5.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</w:p>
    <w:p w14:paraId="7A6DB11C" w14:textId="77777777" w:rsidR="00EB7A9E" w:rsidRDefault="00000000">
      <w:pPr>
        <w:ind w:left="-5" w:right="0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Клиент осы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енгізілетін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мен </w:t>
      </w:r>
      <w:proofErr w:type="spellStart"/>
      <w:r>
        <w:t>толықтыруларды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</w:t>
      </w:r>
    </w:p>
    <w:p w14:paraId="5D3075B5" w14:textId="77777777" w:rsidR="00EB7A9E" w:rsidRDefault="00000000">
      <w:pPr>
        <w:ind w:left="-5" w:right="0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мен </w:t>
      </w:r>
      <w:proofErr w:type="spellStart"/>
      <w:r>
        <w:t>толықтыруларды</w:t>
      </w:r>
      <w:proofErr w:type="spellEnd"/>
      <w:r>
        <w:t xml:space="preserve"> </w:t>
      </w:r>
      <w:proofErr w:type="spellStart"/>
      <w:r>
        <w:t>біржақты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енгізуге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Қосымша</w:t>
      </w:r>
      <w:proofErr w:type="spellEnd"/>
      <w:r>
        <w:t xml:space="preserve"> 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lastRenderedPageBreak/>
        <w:t>Бағдарламаны</w:t>
      </w:r>
      <w:proofErr w:type="spellEnd"/>
      <w:r>
        <w:t xml:space="preserve"> </w:t>
      </w:r>
      <w:proofErr w:type="spellStart"/>
      <w:r>
        <w:t>өзгерткені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маркетингтік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хабарламалар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</w:p>
    <w:p w14:paraId="27208862" w14:textId="77777777" w:rsidR="00EB7A9E" w:rsidRDefault="00000000">
      <w:pPr>
        <w:ind w:left="-5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клиент </w:t>
      </w:r>
      <w:proofErr w:type="spellStart"/>
      <w:r>
        <w:t>пайдалынып</w:t>
      </w:r>
      <w:proofErr w:type="spellEnd"/>
      <w:r>
        <w:t xml:space="preserve"> </w:t>
      </w:r>
      <w:proofErr w:type="spellStart"/>
      <w:r>
        <w:t>үлгерген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клиент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картаның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акцептсіз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 xml:space="preserve">/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дебеттеуі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қайтаруды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. </w:t>
      </w:r>
    </w:p>
    <w:p w14:paraId="261CD319" w14:textId="77777777" w:rsidR="00EB7A9E" w:rsidRDefault="00000000">
      <w:pPr>
        <w:ind w:left="-5" w:right="0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акция/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өткізілетіні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таңдауы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тәсілмен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</w:t>
      </w:r>
    </w:p>
    <w:p w14:paraId="3ADB221A" w14:textId="77777777" w:rsidR="00EB7A9E" w:rsidRDefault="00000000">
      <w:pPr>
        <w:ind w:left="-5" w:right="0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сақтамаса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алаяқтық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Клиентке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артықшылықтарды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ынталандыруларды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жаңылыстыратын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берсе, Банк </w:t>
      </w:r>
      <w:proofErr w:type="spellStart"/>
      <w:r>
        <w:t>ескертусіз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осы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Кэшбэгі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</w:t>
      </w:r>
    </w:p>
    <w:p w14:paraId="03B805E2" w14:textId="77777777" w:rsidR="00EB7A9E" w:rsidRDefault="00000000">
      <w:pPr>
        <w:ind w:left="-5" w:right="0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Клиенттер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ПОС-терминал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) Банк Клиентке Кешбэк </w:t>
      </w:r>
      <w:proofErr w:type="spellStart"/>
      <w:r>
        <w:t>есептеуді</w:t>
      </w:r>
      <w:proofErr w:type="spellEnd"/>
      <w:r>
        <w:t xml:space="preserve"> </w:t>
      </w:r>
      <w:proofErr w:type="spellStart"/>
      <w:r>
        <w:t>тоқтатуға</w:t>
      </w:r>
      <w:proofErr w:type="spellEnd"/>
      <w:r>
        <w:t xml:space="preserve">,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</w:p>
    <w:p w14:paraId="45C658B0" w14:textId="77777777" w:rsidR="00EB7A9E" w:rsidRDefault="00000000">
      <w:pPr>
        <w:ind w:left="-5" w:right="0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банк </w:t>
      </w:r>
      <w:proofErr w:type="spellStart"/>
      <w:r>
        <w:t>көрсетілген</w:t>
      </w:r>
      <w:proofErr w:type="spellEnd"/>
      <w:r>
        <w:t xml:space="preserve"> МСС-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жатқызған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Банкте</w:t>
      </w:r>
      <w:proofErr w:type="spellEnd"/>
      <w:r>
        <w:t xml:space="preserve"> осы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Кешбэкке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, Клиентке Кешбэк </w:t>
      </w:r>
      <w:proofErr w:type="spellStart"/>
      <w:r>
        <w:t>салмауға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r>
        <w:br w:type="page"/>
      </w:r>
    </w:p>
    <w:p w14:paraId="65452A82" w14:textId="77777777" w:rsidR="00EB7A9E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sectPr w:rsidR="00EB7A9E">
      <w:pgSz w:w="11911" w:h="16850"/>
      <w:pgMar w:top="1390" w:right="1353" w:bottom="291" w:left="10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25B4"/>
    <w:multiLevelType w:val="hybridMultilevel"/>
    <w:tmpl w:val="22A808A6"/>
    <w:lvl w:ilvl="0" w:tplc="18221E7E">
      <w:start w:val="1"/>
      <w:numFmt w:val="bullet"/>
      <w:lvlText w:val="-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CDF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24E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6B1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61C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2D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009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6E8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AD8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DC1306"/>
    <w:multiLevelType w:val="hybridMultilevel"/>
    <w:tmpl w:val="0204C5A8"/>
    <w:lvl w:ilvl="0" w:tplc="429268B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729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F106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D08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3057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364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8EC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866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300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DE3470"/>
    <w:multiLevelType w:val="multilevel"/>
    <w:tmpl w:val="F8CC32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214872">
    <w:abstractNumId w:val="1"/>
  </w:num>
  <w:num w:numId="2" w16cid:durableId="1898128760">
    <w:abstractNumId w:val="0"/>
  </w:num>
  <w:num w:numId="3" w16cid:durableId="28666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9E"/>
    <w:rsid w:val="003A7125"/>
    <w:rsid w:val="00C11ADA"/>
    <w:rsid w:val="00E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571"/>
  <w15:docId w15:val="{50244238-A834-4D95-8C97-06F250C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 w:line="266" w:lineRule="auto"/>
      <w:ind w:left="23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www.visa.com.kz/ru_kz/visa-offers-and-perks/" TargetMode="External"/><Relationship Id="rId18" Type="http://schemas.openxmlformats.org/officeDocument/2006/relationships/hyperlink" Target="https://www.visa.com.kz/ru_kz/visa-offers-and-perk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0.jpg"/><Relationship Id="rId12" Type="http://schemas.openxmlformats.org/officeDocument/2006/relationships/hyperlink" Target="https://club.bcc.kz/" TargetMode="External"/><Relationship Id="rId17" Type="http://schemas.openxmlformats.org/officeDocument/2006/relationships/hyperlink" Target="https://www.visa.com.kz/ru_kz/visa-offers-and-perk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sa.com.kz/ru_kz/visa-offers-and-perks/" TargetMode="External"/><Relationship Id="rId20" Type="http://schemas.openxmlformats.org/officeDocument/2006/relationships/hyperlink" Target="https://www.visa.com.kz/ru_kz/visa-offers-and-perk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club.bcc.kz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visa.com.kz/ru_kz/visa-offers-and-perks/" TargetMode="External"/><Relationship Id="rId10" Type="http://schemas.openxmlformats.org/officeDocument/2006/relationships/hyperlink" Target="https://club.bcc.kz/" TargetMode="External"/><Relationship Id="rId19" Type="http://schemas.openxmlformats.org/officeDocument/2006/relationships/hyperlink" Target="https://www.visa.com.kz/ru_kz/visa-offers-and-per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ub.bcc.kz/" TargetMode="External"/><Relationship Id="rId14" Type="http://schemas.openxmlformats.org/officeDocument/2006/relationships/hyperlink" Target="https://www.visa.com.kz/ru_kz/visa-offers-and-perk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8448</Characters>
  <Application>Microsoft Office Word</Application>
  <DocSecurity>0</DocSecurity>
  <Lines>148</Lines>
  <Paragraphs>67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Улболсын Ауезхановна</dc:creator>
  <cp:keywords/>
  <cp:lastModifiedBy>Хан Валерия Витальевна</cp:lastModifiedBy>
  <cp:revision>2</cp:revision>
  <dcterms:created xsi:type="dcterms:W3CDTF">2026-03-17T11:44:00Z</dcterms:created>
  <dcterms:modified xsi:type="dcterms:W3CDTF">2026-03-17T11:44:00Z</dcterms:modified>
</cp:coreProperties>
</file>