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188B" w14:textId="77777777" w:rsidR="0020248D" w:rsidRDefault="00000000">
      <w:pPr>
        <w:spacing w:after="0" w:line="259" w:lineRule="auto"/>
        <w:ind w:left="172" w:right="0" w:firstLine="0"/>
        <w:jc w:val="center"/>
      </w:pPr>
      <w:r>
        <w:rPr>
          <w:b/>
        </w:rPr>
        <w:t xml:space="preserve">Кешбэк программа по продукту #IronCard </w:t>
      </w:r>
    </w:p>
    <w:p w14:paraId="1DDD850F" w14:textId="77777777" w:rsidR="0020248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6464DE4" w14:textId="77777777" w:rsidR="0020248D" w:rsidRDefault="00000000">
      <w:pPr>
        <w:spacing w:after="11" w:line="259" w:lineRule="auto"/>
        <w:ind w:left="16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435F9F" wp14:editId="5EB82EA7">
                <wp:extent cx="5776214" cy="2396465"/>
                <wp:effectExtent l="0" t="0" r="0" b="0"/>
                <wp:docPr id="6211" name="Group 6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214" cy="2396465"/>
                          <a:chOff x="0" y="0"/>
                          <a:chExt cx="5776214" cy="2396465"/>
                        </a:xfrm>
                      </wpg:grpSpPr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985" cy="1158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33195" y="1267435"/>
                            <a:ext cx="4343019" cy="1129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11" style="width:454.82pt;height:188.698pt;mso-position-horizontal-relative:char;mso-position-vertical-relative:line" coordsize="57762,23964">
                <v:shape id="Picture 280" style="position:absolute;width:43249;height:11582;left:0;top:0;" filled="f">
                  <v:imagedata r:id="rId10"/>
                </v:shape>
                <v:shape id="Picture 282" style="position:absolute;width:43430;height:11290;left:14331;top:12674;" filled="f">
                  <v:imagedata r:id="rId11"/>
                </v:shape>
              </v:group>
            </w:pict>
          </mc:Fallback>
        </mc:AlternateContent>
      </w:r>
    </w:p>
    <w:p w14:paraId="6226FB91" w14:textId="77777777" w:rsidR="0020248D" w:rsidRDefault="00000000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8DDE6B" w14:textId="77777777" w:rsidR="0020248D" w:rsidRDefault="00000000">
      <w:pPr>
        <w:pStyle w:val="1"/>
        <w:ind w:left="804" w:hanging="819"/>
      </w:pPr>
      <w:r>
        <w:t xml:space="preserve">Кешбэк программа </w:t>
      </w:r>
    </w:p>
    <w:p w14:paraId="399A6233" w14:textId="77777777" w:rsidR="0020248D" w:rsidRDefault="00000000">
      <w:pPr>
        <w:ind w:left="-5" w:right="3"/>
      </w:pPr>
      <w:r>
        <w:rPr>
          <w:sz w:val="23"/>
        </w:rPr>
        <w:t>1.1.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Программа предназначена для повышения лояльности клиентов к продуктам Банка, мотивации клиентов на совершение большего количества безналичных покупок с использованием платежной карты и/или ее реквизитов и/или токена. </w:t>
      </w:r>
    </w:p>
    <w:p w14:paraId="72B60242" w14:textId="77777777" w:rsidR="0020248D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B81A5F9" w14:textId="77777777" w:rsidR="0020248D" w:rsidRDefault="00000000">
      <w:pPr>
        <w:pStyle w:val="1"/>
        <w:ind w:left="806" w:hanging="821"/>
      </w:pPr>
      <w:r>
        <w:t xml:space="preserve">Термины и определения </w:t>
      </w:r>
    </w:p>
    <w:p w14:paraId="47C90F02" w14:textId="77777777" w:rsidR="0020248D" w:rsidRDefault="00000000">
      <w:pPr>
        <w:tabs>
          <w:tab w:val="center" w:pos="2444"/>
        </w:tabs>
        <w:ind w:left="-15" w:right="0" w:firstLine="0"/>
        <w:jc w:val="left"/>
      </w:pPr>
      <w:r>
        <w:rPr>
          <w:sz w:val="23"/>
        </w:rPr>
        <w:t>2.1.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Банк - АО “Банк ЦентрКредит”. </w:t>
      </w:r>
    </w:p>
    <w:p w14:paraId="0751997F" w14:textId="77777777" w:rsidR="0020248D" w:rsidRDefault="00000000">
      <w:pPr>
        <w:spacing w:after="0" w:line="279" w:lineRule="auto"/>
        <w:ind w:left="-5" w:right="-11"/>
        <w:jc w:val="left"/>
      </w:pPr>
      <w:r>
        <w:rPr>
          <w:sz w:val="23"/>
        </w:rPr>
        <w:t>2.2.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Кешбэк - возврат клиенту части денег от суммы проведенной безналичной покупки с использованием карты (ее реквизитов/токена) через ПОС-терминал или Интернет. </w:t>
      </w:r>
    </w:p>
    <w:p w14:paraId="607A417A" w14:textId="77777777" w:rsidR="0020248D" w:rsidRDefault="00000000">
      <w:pPr>
        <w:spacing w:after="22" w:line="259" w:lineRule="auto"/>
        <w:ind w:left="-5" w:right="0"/>
        <w:jc w:val="left"/>
      </w:pPr>
      <w:r>
        <w:rPr>
          <w:b/>
        </w:rPr>
        <w:t xml:space="preserve">1 Кешбэк = 1 тенге. </w:t>
      </w:r>
    </w:p>
    <w:p w14:paraId="4D2EC2D5" w14:textId="77777777" w:rsidR="0020248D" w:rsidRDefault="00000000">
      <w:pPr>
        <w:ind w:left="-5" w:right="3"/>
      </w:pPr>
      <w:r>
        <w:rPr>
          <w:sz w:val="23"/>
        </w:rPr>
        <w:t>2.3.</w:t>
      </w:r>
      <w:r>
        <w:rPr>
          <w:rFonts w:ascii="Arial" w:eastAsia="Arial" w:hAnsi="Arial" w:cs="Arial"/>
          <w:sz w:val="23"/>
        </w:rPr>
        <w:t xml:space="preserve"> </w:t>
      </w:r>
      <w:r>
        <w:t>МСС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 - специальный четырехзначный код, который описывает вид деятельности торговой точки. </w:t>
      </w:r>
    </w:p>
    <w:p w14:paraId="15F5333B" w14:textId="77777777" w:rsidR="0020248D" w:rsidRDefault="00000000">
      <w:pPr>
        <w:ind w:left="-5" w:right="3"/>
      </w:pPr>
      <w:r>
        <w:rPr>
          <w:sz w:val="23"/>
        </w:rPr>
        <w:t>2.4.</w:t>
      </w:r>
      <w:r>
        <w:rPr>
          <w:rFonts w:ascii="Arial" w:eastAsia="Arial" w:hAnsi="Arial" w:cs="Arial"/>
          <w:sz w:val="23"/>
        </w:rPr>
        <w:t xml:space="preserve"> </w:t>
      </w:r>
      <w:r>
        <w:t>Платеж в BCC.KZ – оплата товаров и услуг в мобильном приложении BCC.KZ. 2.</w:t>
      </w:r>
      <w:proofErr w:type="gramStart"/>
      <w:r>
        <w:t>5.Партнер</w:t>
      </w:r>
      <w:proofErr w:type="gramEnd"/>
      <w:r>
        <w:t xml:space="preserve"> – компания или организация, сотрудничающая с Банком и предоставляющая Кешбэк или скидки Клиентам. </w:t>
      </w:r>
    </w:p>
    <w:p w14:paraId="7ABB2DB4" w14:textId="77777777" w:rsidR="0020248D" w:rsidRDefault="00000000">
      <w:pPr>
        <w:tabs>
          <w:tab w:val="center" w:pos="4369"/>
        </w:tabs>
        <w:ind w:left="-15" w:right="0" w:firstLine="0"/>
        <w:jc w:val="left"/>
      </w:pPr>
      <w:r>
        <w:rPr>
          <w:sz w:val="23"/>
        </w:rPr>
        <w:t>2.6.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Партнерский Кешбэк – Кешбэк, предоставляемый Партнером Банка. </w:t>
      </w:r>
    </w:p>
    <w:p w14:paraId="79D55955" w14:textId="77777777" w:rsidR="0020248D" w:rsidRDefault="00000000">
      <w:pPr>
        <w:tabs>
          <w:tab w:val="center" w:pos="3739"/>
        </w:tabs>
        <w:ind w:left="-15" w:right="0" w:firstLine="0"/>
        <w:jc w:val="left"/>
      </w:pPr>
      <w:r>
        <w:rPr>
          <w:sz w:val="23"/>
        </w:rPr>
        <w:t>2.7.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Банковский Кешбэк - Кешбэк, предоставляемый Банком. </w:t>
      </w:r>
    </w:p>
    <w:p w14:paraId="08D11754" w14:textId="77777777" w:rsidR="0020248D" w:rsidRDefault="00000000">
      <w:pPr>
        <w:ind w:left="-5" w:right="3"/>
      </w:pPr>
      <w:r>
        <w:rPr>
          <w:sz w:val="23"/>
        </w:rPr>
        <w:t>2.8.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Бонусный счет – внебалансовый счет, открываемый Банком в разрезе каждого Клиента, предназначенный для учета начисления/использования Кешбэка. </w:t>
      </w:r>
    </w:p>
    <w:p w14:paraId="5878B852" w14:textId="77777777" w:rsidR="0020248D" w:rsidRDefault="00000000">
      <w:pPr>
        <w:ind w:left="-5" w:right="3"/>
      </w:pPr>
      <w:r>
        <w:rPr>
          <w:sz w:val="23"/>
        </w:rPr>
        <w:t>2.9.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Покупка – безналичная оплата товаров и услуг с использованием карточки (ее реквизитов) через ПОС-терминал/Интернет. </w:t>
      </w:r>
    </w:p>
    <w:p w14:paraId="2A441495" w14:textId="77777777" w:rsidR="0020248D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0D65619" w14:textId="77777777" w:rsidR="0020248D" w:rsidRDefault="00000000">
      <w:pPr>
        <w:pStyle w:val="1"/>
        <w:ind w:left="806" w:hanging="821"/>
      </w:pPr>
      <w:r>
        <w:t xml:space="preserve">Виды Кешбэка </w:t>
      </w:r>
    </w:p>
    <w:p w14:paraId="09B1B8E1" w14:textId="77777777" w:rsidR="0020248D" w:rsidRDefault="00000000">
      <w:pPr>
        <w:ind w:left="-5" w:right="3"/>
      </w:pPr>
      <w:r>
        <w:rPr>
          <w:sz w:val="23"/>
        </w:rPr>
        <w:t>3.1.</w:t>
      </w:r>
      <w:r>
        <w:rPr>
          <w:rFonts w:ascii="Arial" w:eastAsia="Arial" w:hAnsi="Arial" w:cs="Arial"/>
          <w:sz w:val="23"/>
        </w:rPr>
        <w:t xml:space="preserve"> </w:t>
      </w:r>
      <w:r>
        <w:t>Категории покупок, за которые начисляется Кешбэк, определяются Банком по MCC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– код, предусмотренный международными платежными системами Visa и Mastercard для идентификации основной деятельности торговой точки (например, MCC 4511 – Авиалинии или 7011 – Отели). </w:t>
      </w:r>
    </w:p>
    <w:p w14:paraId="020E4145" w14:textId="77777777" w:rsidR="0020248D" w:rsidRDefault="00000000">
      <w:pPr>
        <w:ind w:left="-5" w:right="3"/>
      </w:pPr>
      <w:r>
        <w:rPr>
          <w:sz w:val="23"/>
        </w:rPr>
        <w:t>3.2.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Банком предусмотрены следующие виды Кешбэка по продукту #IronCard (Банковский Кешбэк): </w:t>
      </w:r>
    </w:p>
    <w:p w14:paraId="77EAAA03" w14:textId="77777777" w:rsidR="0020248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892CE8" w14:textId="77777777" w:rsidR="0020248D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298C7568" w14:textId="77777777" w:rsidR="0020248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80E84F" w14:textId="77777777" w:rsidR="0020248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01" w:type="dxa"/>
        <w:tblInd w:w="10" w:type="dxa"/>
        <w:tblCellMar>
          <w:top w:w="14" w:type="dxa"/>
          <w:left w:w="171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779"/>
        <w:gridCol w:w="4722"/>
      </w:tblGrid>
      <w:tr w:rsidR="0020248D" w14:paraId="48DCDE61" w14:textId="77777777">
        <w:trPr>
          <w:trHeight w:val="387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CF4A" w14:textId="77777777" w:rsidR="0020248D" w:rsidRDefault="00000000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Вид Кешбэка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2F00" w14:textId="77777777" w:rsidR="0020248D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Размер, % от суммы покупки </w:t>
            </w:r>
          </w:p>
        </w:tc>
      </w:tr>
      <w:tr w:rsidR="0020248D" w14:paraId="28325CAB" w14:textId="77777777">
        <w:trPr>
          <w:trHeight w:val="293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FEBC" w14:textId="77777777" w:rsidR="0020248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Кешбэк за личные покупки (базовый)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67C8" w14:textId="77777777" w:rsidR="0020248D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2% </w:t>
            </w:r>
          </w:p>
        </w:tc>
      </w:tr>
      <w:tr w:rsidR="0020248D" w14:paraId="5EE2FB6E" w14:textId="77777777">
        <w:trPr>
          <w:trHeight w:val="910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CD03" w14:textId="77777777" w:rsidR="0020248D" w:rsidRDefault="00000000">
            <w:pPr>
              <w:spacing w:after="0" w:line="259" w:lineRule="auto"/>
              <w:ind w:left="0" w:right="0" w:firstLine="0"/>
            </w:pPr>
            <w:r>
              <w:t>Кешбэк за личные покупки (при наличии вклада от 1 млн до 6 млн тенге)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AB1C" w14:textId="77777777" w:rsidR="0020248D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+1% (итого 3%) </w:t>
            </w:r>
          </w:p>
        </w:tc>
      </w:tr>
      <w:tr w:rsidR="0020248D" w14:paraId="136579E8" w14:textId="77777777">
        <w:trPr>
          <w:trHeight w:val="643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95E2" w14:textId="77777777" w:rsidR="0020248D" w:rsidRDefault="00000000">
            <w:pPr>
              <w:spacing w:after="0" w:line="259" w:lineRule="auto"/>
              <w:ind w:left="0" w:right="0" w:firstLine="0"/>
            </w:pPr>
            <w:r>
              <w:t>Кешбэк за личные покупки (при наличии вклада от 6 млн тенге)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E0A9" w14:textId="77777777" w:rsidR="0020248D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+2% (итого 4%) </w:t>
            </w:r>
          </w:p>
        </w:tc>
      </w:tr>
    </w:tbl>
    <w:p w14:paraId="370269D6" w14:textId="3037E7F1" w:rsidR="0020248D" w:rsidRDefault="00000000">
      <w:pPr>
        <w:ind w:left="-5" w:right="3"/>
      </w:pPr>
      <w:r>
        <w:t xml:space="preserve">1Список вкладов: </w:t>
      </w:r>
      <w:r w:rsidR="009D7431">
        <w:t xml:space="preserve">Моя цель, </w:t>
      </w:r>
      <w:r>
        <w:t xml:space="preserve">Юбилейный, Рахмет (без права пополнения), Рахмет+ (с правом пополнения), Чемпион, Эталон, Эталон+, Наш депозит, ПРОГРЕСС, ГИБКИЙ, Надежный. </w:t>
      </w:r>
    </w:p>
    <w:p w14:paraId="72A30530" w14:textId="77777777" w:rsidR="0020248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30B0975" w14:textId="77777777" w:rsidR="0020248D" w:rsidRDefault="00000000">
      <w:pPr>
        <w:tabs>
          <w:tab w:val="center" w:pos="2775"/>
        </w:tabs>
        <w:ind w:left="-15" w:right="0" w:firstLine="0"/>
        <w:jc w:val="left"/>
      </w:pPr>
      <w:r>
        <w:rPr>
          <w:sz w:val="23"/>
        </w:rPr>
        <w:t>3.3.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Если у Вас есть комбинация карточек: </w:t>
      </w:r>
    </w:p>
    <w:p w14:paraId="0976B3A3" w14:textId="77777777" w:rsidR="0020248D" w:rsidRDefault="00000000">
      <w:pPr>
        <w:ind w:left="-5" w:right="3"/>
      </w:pPr>
      <w:r>
        <w:t xml:space="preserve">- #IronCard и #rentacar, общий лимит по этим карточкам составляет 100 000 тенге, из которых до 20 000 тенге можно накопить за аренду авто с #rentacar. </w:t>
      </w:r>
    </w:p>
    <w:p w14:paraId="29D61782" w14:textId="77777777" w:rsidR="0020248D" w:rsidRDefault="00000000">
      <w:pPr>
        <w:tabs>
          <w:tab w:val="center" w:pos="3668"/>
        </w:tabs>
        <w:ind w:left="-15" w:right="0" w:firstLine="0"/>
        <w:jc w:val="left"/>
      </w:pPr>
      <w:r>
        <w:rPr>
          <w:sz w:val="23"/>
        </w:rPr>
        <w:t>3.4.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Максимальная сумма Кешбэка в месяц - 100 000 тенге. </w:t>
      </w:r>
    </w:p>
    <w:p w14:paraId="15509EE9" w14:textId="77777777" w:rsidR="0020248D" w:rsidRDefault="00000000">
      <w:pPr>
        <w:tabs>
          <w:tab w:val="right" w:pos="9460"/>
        </w:tabs>
        <w:ind w:left="-15" w:right="0" w:firstLine="0"/>
        <w:jc w:val="left"/>
      </w:pPr>
      <w:r>
        <w:rPr>
          <w:sz w:val="23"/>
        </w:rPr>
        <w:t>3.5.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В случае проведения клиентом покупки у Партнера, за которую предусмотрен </w:t>
      </w:r>
    </w:p>
    <w:p w14:paraId="50ED0B76" w14:textId="77777777" w:rsidR="0020248D" w:rsidRDefault="00000000">
      <w:pPr>
        <w:spacing w:after="0" w:line="279" w:lineRule="auto"/>
        <w:ind w:left="-5" w:right="-11"/>
        <w:jc w:val="left"/>
      </w:pPr>
      <w:r>
        <w:t xml:space="preserve">Партнерский Кешбэк, клиенту зачисляется максимальная сумма Кешбэка (сумма Партнерского или Банковского Кешбэка), Партнерский и Банковский Кешбэк не суммируются. </w:t>
      </w:r>
    </w:p>
    <w:p w14:paraId="30DD9E43" w14:textId="77777777" w:rsidR="0020248D" w:rsidRDefault="00000000">
      <w:pPr>
        <w:ind w:left="-5" w:right="3"/>
      </w:pPr>
      <w:r>
        <w:rPr>
          <w:sz w:val="23"/>
        </w:rPr>
        <w:t>3.6.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вправе не зачислять Кешбэк за следующие расходные операции: - платежи в BCC.KZ; - получение денежных средств в банкоматах и в кассах финансовых институтов/кредитных организаций (MCC 6011, 6010); - денежные переводы, зачисление денег, финансовые организации, государственные платежи (MCC 4829, 6531-6540, 6012, 6022-6028, 8931, 9211, 9222, 9311, 9399, 9402, 9405 и другие MCC, если операция связана с переводом средств); - телекоммуникационные услуги, оплата мобильной связи, интернета и платных телевизионных услуг (MCC 4812, 4813, 4814, 4815, 4821, 4899, 7375); - коммунальные платежи (MCC 4900); оплата ставок и пари, покупка фишек казино, иностранной валюты, ценных бумаг, оплата финансовых сделок с паями, ломбарды (MCC 5933, 6050, 6051, 6211, 6529, 6530, 7800, 7801, 7802, 7995, 9406, 9223, 9754); - оптовая/коммерческая торговля (MCC 5046 - коммерческое оборудование, 5099 - огнетушители, пожарная сигнализация и </w:t>
      </w:r>
      <w:proofErr w:type="spellStart"/>
      <w:r>
        <w:t>др</w:t>
      </w:r>
      <w:proofErr w:type="spellEnd"/>
      <w:r>
        <w:t xml:space="preserve">, 5715 – алкоголь, 5993 - Табачные магазины); - другие (MCC 4816 - компьютерная сеть/ информационные услуги, 5960 - страхование через почтовую рассылку, телевизионные объявления и др., 6300 - страховые продажи, андеррайтинг и премии, 6399 - страхование - нигде не классифицированное, 6513 - агенты недвижимости и менеджеры – аренда, 7321 - кредитные бюро, 7261 - Ритуальные услуги и крематории, 7273 – Знакомства, 7276 - услуги по налогам, 7299 - иной сервис - нигде не классифицированный, 7311 - рекламные услуги, (MCC 7372, 7392) - услуги компьютерного программирования, обработки данных и проектирования интегрированных систем, 7361 - Агентства по трудоустройству, временные справочные службы, 7393 - Детективные агентства, охранные агентства, службы безопасности, 7322 - Агентства взыскания долгов, 7399 - бизнес услуги, 8661 - Религиозные организации, 0763 - Сельскохозяйственные кооперативы, 8111 - Адвокаты, юридические услуги, 7277 - Долги, брак, личные вопросы – консультирование, 8651 - Политические организации, 8734 - Испытательные лаборатории </w:t>
      </w:r>
      <w:r>
        <w:lastRenderedPageBreak/>
        <w:t xml:space="preserve">(немедицинские), 8999 - профессиональные услуги – нигде не классифицированные, 8398 - благотворительность). </w:t>
      </w:r>
    </w:p>
    <w:p w14:paraId="410D3580" w14:textId="77777777" w:rsidR="0020248D" w:rsidRDefault="00000000">
      <w:pPr>
        <w:ind w:left="-5" w:right="3"/>
      </w:pPr>
      <w:r>
        <w:rPr>
          <w:sz w:val="23"/>
        </w:rPr>
        <w:t>3.7.</w:t>
      </w:r>
      <w:r>
        <w:rPr>
          <w:rFonts w:ascii="Arial" w:eastAsia="Arial" w:hAnsi="Arial" w:cs="Arial"/>
          <w:sz w:val="23"/>
        </w:rPr>
        <w:t xml:space="preserve"> </w:t>
      </w:r>
      <w:r>
        <w:t>Клиент может ознакомиться с Партнерами Банка и размером Партнерского Кешбэка на сайте</w:t>
      </w:r>
      <w:hyperlink r:id="rId12">
        <w:r>
          <w:t xml:space="preserve"> </w:t>
        </w:r>
      </w:hyperlink>
      <w:hyperlink r:id="rId13">
        <w:r>
          <w:t>https://club.bcc.kz/</w:t>
        </w:r>
      </w:hyperlink>
      <w:hyperlink r:id="rId14">
        <w:r>
          <w:t>.</w:t>
        </w:r>
      </w:hyperlink>
      <w:r>
        <w:t xml:space="preserve"> За покупки картой также могут быть предусмотрены скидки и спецпредложения от партнеров Банка</w:t>
      </w:r>
      <w:hyperlink r:id="rId15">
        <w:r>
          <w:t xml:space="preserve"> </w:t>
        </w:r>
      </w:hyperlink>
      <w:hyperlink r:id="rId16">
        <w:r>
          <w:t>https://club.bcc.kz/</w:t>
        </w:r>
      </w:hyperlink>
      <w:hyperlink r:id="rId17">
        <w:r>
          <w:t xml:space="preserve"> </w:t>
        </w:r>
      </w:hyperlink>
      <w:r>
        <w:t>и международной платежной системы Visa</w:t>
      </w:r>
      <w:hyperlink r:id="rId18">
        <w:r>
          <w:t xml:space="preserve"> </w:t>
        </w:r>
      </w:hyperlink>
      <w:hyperlink r:id="rId19">
        <w:r>
          <w:t>https://www.visa.com.kz/ru_kz/visa</w:t>
        </w:r>
      </w:hyperlink>
      <w:hyperlink r:id="rId20">
        <w:r>
          <w:t>-</w:t>
        </w:r>
      </w:hyperlink>
      <w:hyperlink r:id="rId21">
        <w:r>
          <w:t>offers</w:t>
        </w:r>
      </w:hyperlink>
      <w:hyperlink r:id="rId22">
        <w:r>
          <w:t>-</w:t>
        </w:r>
      </w:hyperlink>
      <w:hyperlink r:id="rId23">
        <w:r>
          <w:t>and</w:t>
        </w:r>
      </w:hyperlink>
      <w:hyperlink r:id="rId24">
        <w:r>
          <w:t xml:space="preserve">- </w:t>
        </w:r>
      </w:hyperlink>
      <w:hyperlink r:id="rId25">
        <w:proofErr w:type="spellStart"/>
        <w:r>
          <w:t>perks</w:t>
        </w:r>
        <w:proofErr w:type="spellEnd"/>
        <w:r>
          <w:t>/.</w:t>
        </w:r>
      </w:hyperlink>
      <w:r>
        <w:t xml:space="preserve"> Для получения скидки клиенту необходимо идентифицировать себя, как владельца #IronCard, и использовать данную карту для оплаты. </w:t>
      </w:r>
    </w:p>
    <w:p w14:paraId="32CA3C14" w14:textId="77777777" w:rsidR="0020248D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36F972C" w14:textId="77777777" w:rsidR="0020248D" w:rsidRDefault="00000000">
      <w:pPr>
        <w:pStyle w:val="1"/>
        <w:ind w:left="804" w:hanging="819"/>
      </w:pPr>
      <w:r>
        <w:t xml:space="preserve">Общие положения </w:t>
      </w:r>
    </w:p>
    <w:p w14:paraId="3B072689" w14:textId="77777777" w:rsidR="0020248D" w:rsidRDefault="00000000">
      <w:pPr>
        <w:ind w:left="-5" w:right="3"/>
      </w:pPr>
      <w:r>
        <w:rPr>
          <w:sz w:val="23"/>
        </w:rPr>
        <w:t>4.1.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 безналичные покупки с использованием карточки (ее реквизитов) зачисляется на Бонусный счет Клиента по факту обработки операции, то есть списанию суммы покупки со счета карточки (при получении Банком подтверждения покупки со стороны торгово-сервисной точки). Обычно Кешбэк на Бонусный счет зачисляется в течение </w:t>
      </w:r>
      <w:proofErr w:type="gramStart"/>
      <w:r>
        <w:t>1-7</w:t>
      </w:r>
      <w:proofErr w:type="gramEnd"/>
      <w:r>
        <w:t xml:space="preserve"> дней с момента проведения покупки Клиентом. </w:t>
      </w:r>
    </w:p>
    <w:p w14:paraId="1C5E2E6A" w14:textId="77777777" w:rsidR="0020248D" w:rsidRDefault="00000000">
      <w:pPr>
        <w:ind w:left="-5" w:right="3"/>
      </w:pPr>
      <w:r>
        <w:rPr>
          <w:sz w:val="23"/>
        </w:rPr>
        <w:t>4.2.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выплачивается в размерах, определенных Банком и доведенных до сведения клиента, посредством каналов связи Банка. </w:t>
      </w:r>
    </w:p>
    <w:p w14:paraId="64274769" w14:textId="77777777" w:rsidR="0020248D" w:rsidRDefault="00000000">
      <w:pPr>
        <w:ind w:left="-5" w:right="3"/>
      </w:pPr>
      <w:r>
        <w:rPr>
          <w:sz w:val="23"/>
        </w:rPr>
        <w:t>4.3.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Условия предоставления Кешбэка могут быть изменены/дополнены Банком в одностороннем порядке, на основании соответствующего решения Банка. </w:t>
      </w:r>
    </w:p>
    <w:p w14:paraId="51EB7C1B" w14:textId="77777777" w:rsidR="0020248D" w:rsidRDefault="00000000">
      <w:pPr>
        <w:ind w:left="-5" w:right="3"/>
      </w:pPr>
      <w:r>
        <w:rPr>
          <w:sz w:val="23"/>
        </w:rPr>
        <w:t>4.4.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Аннулирование Кешбэка возможно по решению Банка. Банк имеет право не сообщать клиенту причину своего решения. </w:t>
      </w:r>
    </w:p>
    <w:p w14:paraId="52050667" w14:textId="77777777" w:rsidR="0020248D" w:rsidRDefault="00000000">
      <w:pPr>
        <w:ind w:left="-5" w:right="3"/>
      </w:pPr>
      <w:r>
        <w:rPr>
          <w:sz w:val="23"/>
        </w:rPr>
        <w:t>4.5.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не несет ответственности за некорректное присвоение MCC </w:t>
      </w:r>
      <w:proofErr w:type="gramStart"/>
      <w:r>
        <w:t>торгово- сервисным</w:t>
      </w:r>
      <w:proofErr w:type="gramEnd"/>
      <w:r>
        <w:t xml:space="preserve"> точкам банками-эквайерами. </w:t>
      </w:r>
    </w:p>
    <w:p w14:paraId="25D37B28" w14:textId="77777777" w:rsidR="0020248D" w:rsidRDefault="00000000">
      <w:pPr>
        <w:ind w:left="-5" w:right="3"/>
      </w:pPr>
      <w:r>
        <w:rPr>
          <w:sz w:val="23"/>
        </w:rPr>
        <w:t>4.6.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зачисляется на Бонусный счет в пределах месячного Кешбэк лимита каждой из участвующих карточек в Программе. Кешбэк учитывается в лимит месяца, в котором Банк получил подтверждение покупки со стороны торгово-сервисной точки. </w:t>
      </w:r>
    </w:p>
    <w:p w14:paraId="3D2869ED" w14:textId="77777777" w:rsidR="0020248D" w:rsidRDefault="00000000">
      <w:pPr>
        <w:ind w:left="-5" w:right="3"/>
      </w:pPr>
      <w:r>
        <w:rPr>
          <w:sz w:val="23"/>
        </w:rPr>
        <w:t>4.7.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Если Клиентом в течение календарного месяца был накоплен Кешбэк на сумму менее 500 (пятьсот) тенге, по истечению календарного месяца сумма автоматически списывается с Бонусного счета и восстановлению не подлежит. </w:t>
      </w:r>
    </w:p>
    <w:p w14:paraId="52746C02" w14:textId="77777777" w:rsidR="0020248D" w:rsidRDefault="00000000">
      <w:pPr>
        <w:ind w:left="-5" w:right="3"/>
      </w:pPr>
      <w:r>
        <w:rPr>
          <w:sz w:val="23"/>
        </w:rPr>
        <w:t>4.8.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Для перевода суммы накопленного Кешбэка на карточку, участвующую в Программе, Клиенту необходимо накопить Кешбэк на сумму минимум 2 000 (две тысячи) тенге. </w:t>
      </w:r>
    </w:p>
    <w:p w14:paraId="57606A6F" w14:textId="77777777" w:rsidR="0020248D" w:rsidRDefault="00000000">
      <w:pPr>
        <w:ind w:left="-5" w:right="3"/>
      </w:pPr>
      <w:r>
        <w:rPr>
          <w:sz w:val="23"/>
        </w:rPr>
        <w:t>4.9.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Если Клиент не использовал свой Кешбэк, не переведя их с Бонусного счета на карточку в течение 12 месяцев, эти средства будут автоматически списаны с Бонусного счета и не будут подлежать восстановлению. </w:t>
      </w:r>
    </w:p>
    <w:p w14:paraId="28DFF8C5" w14:textId="77777777" w:rsidR="0020248D" w:rsidRDefault="00000000">
      <w:pPr>
        <w:ind w:left="-5" w:right="3"/>
      </w:pPr>
      <w:r>
        <w:rPr>
          <w:sz w:val="23"/>
        </w:rPr>
        <w:t>4.10.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При осуществлении транзакций в валюте Банк рассчитывает Кешбэк по курсу, установленному Национальным Банком РК на момент проведения транзакции, и начисляет Кешбэк по курсу, установленному на момент поступления в Банк финансового документа. </w:t>
      </w:r>
    </w:p>
    <w:p w14:paraId="33576C3E" w14:textId="77777777" w:rsidR="0020248D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BE055B9" w14:textId="77777777" w:rsidR="0020248D" w:rsidRDefault="00000000">
      <w:pPr>
        <w:pStyle w:val="1"/>
        <w:ind w:left="804" w:hanging="819"/>
      </w:pPr>
      <w:r>
        <w:t xml:space="preserve">Прочие условия </w:t>
      </w:r>
    </w:p>
    <w:p w14:paraId="284573D3" w14:textId="77777777" w:rsidR="0020248D" w:rsidRDefault="00000000">
      <w:pPr>
        <w:ind w:left="-5" w:right="3"/>
      </w:pPr>
      <w:r>
        <w:rPr>
          <w:sz w:val="23"/>
        </w:rPr>
        <w:t>5.1.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Клиент обязуется самостоятельно отслеживать внесение изменений и дополнений в настоящую Программу. </w:t>
      </w:r>
    </w:p>
    <w:p w14:paraId="0B79226C" w14:textId="77777777" w:rsidR="0020248D" w:rsidRDefault="00000000">
      <w:pPr>
        <w:ind w:left="-5" w:right="3"/>
      </w:pPr>
      <w:r>
        <w:rPr>
          <w:sz w:val="23"/>
        </w:rPr>
        <w:t>5.2.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имеет право вносить изменения и дополнения в условия Программы в одностороннем порядке путем размещения новой Программы или внесения изменений в действующую Программу на сайте Банка. Дополнительно Банк вправе сообщить клиентам </w:t>
      </w:r>
      <w:r>
        <w:lastRenderedPageBreak/>
        <w:t xml:space="preserve">об изменении Программы путем предоставления клиентам маркетинговых и/или информационных сообщений. </w:t>
      </w:r>
    </w:p>
    <w:p w14:paraId="412A48A0" w14:textId="77777777" w:rsidR="0020248D" w:rsidRDefault="00000000">
      <w:pPr>
        <w:ind w:left="-5" w:right="3"/>
      </w:pPr>
      <w:r>
        <w:rPr>
          <w:sz w:val="23"/>
        </w:rPr>
        <w:t>5.3.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случае если Кешбэк, зачисленный в результате злоупотребления привилегиями Программы, был уже использован клиентом, клиент поручает Банку осуществить возврат зачисленных средств Банку путем безакцептного списания/прямого дебетования Банком со счета любой карты суммы зачисленного Кешбэка. </w:t>
      </w:r>
    </w:p>
    <w:p w14:paraId="0E30EF3B" w14:textId="77777777" w:rsidR="0020248D" w:rsidRDefault="00000000">
      <w:pPr>
        <w:ind w:left="-5" w:right="3"/>
      </w:pPr>
      <w:r>
        <w:rPr>
          <w:sz w:val="23"/>
        </w:rPr>
        <w:t>5.4.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извещает Клиентов о проведении в рамках Программы специальных акций /предложений для Клиентов и их условий путем размещения соответствующей информации на сайте Банка или в мобильном приложении, или другим доступным для Клиента способом по выбору Банка. </w:t>
      </w:r>
    </w:p>
    <w:p w14:paraId="06565A64" w14:textId="77777777" w:rsidR="0020248D" w:rsidRDefault="00000000">
      <w:pPr>
        <w:ind w:left="-5" w:right="3"/>
      </w:pPr>
      <w:r>
        <w:rPr>
          <w:sz w:val="23"/>
        </w:rPr>
        <w:t>5.5.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имеет право исключить любого Клиента из числа участников Программы без предупреждения, если Клиент не соблюдает условия Программы и/или осуществляет мошеннические действия, и/или злоупотребляет любыми привилегиями и/или поощрениями, предоставленными Клиенту в рамках Программы, и/или предоставляет Банку неверные сведения, вводящие в заблуждение. В случае прекращения участия Клиента в Программе по указанным выше основаниям Кешбэк данного Клиента аннулируются. </w:t>
      </w:r>
    </w:p>
    <w:p w14:paraId="39D66B65" w14:textId="77777777" w:rsidR="0020248D" w:rsidRDefault="00000000">
      <w:pPr>
        <w:ind w:left="-5" w:right="3"/>
      </w:pPr>
      <w:r>
        <w:rPr>
          <w:sz w:val="23"/>
        </w:rPr>
        <w:t>5.6.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случае злоупотребления привилегиями Программы со стороны Клиентов (например, проведение Покупок в одной и той же торгово-сервисной точке и/или по одному и тому же ПОС-терминалу), Банк имеет право прекратить зачисление Кешбэка Клиенту, аннулировать предварительно зачисленные Кешбэк и/или исключить Клиента из числа участников Программы. </w:t>
      </w:r>
    </w:p>
    <w:p w14:paraId="71E2DCF4" w14:textId="77777777" w:rsidR="0020248D" w:rsidRDefault="00000000">
      <w:pPr>
        <w:ind w:left="-5" w:right="3"/>
      </w:pPr>
      <w:r>
        <w:rPr>
          <w:sz w:val="23"/>
        </w:rPr>
        <w:t>5.7.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вправе не зачислять Кешбэк Клиенту в случае, если торгово-сервисная точка отнесена обслуживающим ее банком к МСС (при проведении </w:t>
      </w:r>
      <w:proofErr w:type="gramStart"/>
      <w:r>
        <w:t>покупки</w:t>
      </w:r>
      <w:proofErr w:type="gramEnd"/>
      <w:r>
        <w:t xml:space="preserve"> в котором предполагается начисление Кешбэка), но у Банка есть основание считать, что данная торгово-сервисная точка не относится к указанной категории по виду своей деятельности. </w:t>
      </w:r>
    </w:p>
    <w:sectPr w:rsidR="0020248D">
      <w:footerReference w:type="even" r:id="rId26"/>
      <w:footerReference w:type="default" r:id="rId27"/>
      <w:footerReference w:type="first" r:id="rId28"/>
      <w:pgSz w:w="11911" w:h="16850"/>
      <w:pgMar w:top="1385" w:right="1292" w:bottom="1302" w:left="1159" w:header="72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1E0D" w14:textId="77777777" w:rsidR="00194EBC" w:rsidRDefault="00194EBC">
      <w:pPr>
        <w:spacing w:after="0" w:line="240" w:lineRule="auto"/>
      </w:pPr>
      <w:r>
        <w:separator/>
      </w:r>
    </w:p>
  </w:endnote>
  <w:endnote w:type="continuationSeparator" w:id="0">
    <w:p w14:paraId="2F88DB1C" w14:textId="77777777" w:rsidR="00194EBC" w:rsidRDefault="0019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5DD8" w14:textId="77777777" w:rsidR="0020248D" w:rsidRDefault="00000000">
    <w:pPr>
      <w:tabs>
        <w:tab w:val="right" w:pos="9460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B57C" w14:textId="77777777" w:rsidR="0020248D" w:rsidRDefault="00000000">
    <w:pPr>
      <w:tabs>
        <w:tab w:val="right" w:pos="9460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E702" w14:textId="77777777" w:rsidR="0020248D" w:rsidRDefault="00000000">
    <w:pPr>
      <w:tabs>
        <w:tab w:val="right" w:pos="9460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CCC4" w14:textId="77777777" w:rsidR="00194EBC" w:rsidRDefault="00194EBC">
      <w:pPr>
        <w:spacing w:after="0" w:line="240" w:lineRule="auto"/>
      </w:pPr>
      <w:r>
        <w:separator/>
      </w:r>
    </w:p>
  </w:footnote>
  <w:footnote w:type="continuationSeparator" w:id="0">
    <w:p w14:paraId="1168ADAE" w14:textId="77777777" w:rsidR="00194EBC" w:rsidRDefault="00194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47C6"/>
    <w:multiLevelType w:val="hybridMultilevel"/>
    <w:tmpl w:val="768C4332"/>
    <w:lvl w:ilvl="0" w:tplc="66A891E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2166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325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4725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868D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9DC70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0A62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B9ED2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E2412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733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8D"/>
    <w:rsid w:val="00194EBC"/>
    <w:rsid w:val="0020248D"/>
    <w:rsid w:val="003A7125"/>
    <w:rsid w:val="009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9EC5"/>
  <w15:docId w15:val="{50244238-A834-4D95-8C97-06F250CD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10" w:right="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2" w:line="259" w:lineRule="auto"/>
      <w:ind w:left="18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club.bcc.kz/" TargetMode="External"/><Relationship Id="rId18" Type="http://schemas.openxmlformats.org/officeDocument/2006/relationships/hyperlink" Target="https://www.visa.com.kz/ru_kz/visa-offers-and-perks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visa.com.kz/ru_kz/visa-offers-and-perk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ub.bcc.kz/" TargetMode="External"/><Relationship Id="rId17" Type="http://schemas.openxmlformats.org/officeDocument/2006/relationships/hyperlink" Target="https://club.bcc.kz/" TargetMode="External"/><Relationship Id="rId25" Type="http://schemas.openxmlformats.org/officeDocument/2006/relationships/hyperlink" Target="https://www.visa.com.kz/ru_kz/visa-offers-and-perk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ub.bcc.kz/" TargetMode="External"/><Relationship Id="rId20" Type="http://schemas.openxmlformats.org/officeDocument/2006/relationships/hyperlink" Target="https://www.visa.com.kz/ru_kz/visa-offers-and-perk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24" Type="http://schemas.openxmlformats.org/officeDocument/2006/relationships/hyperlink" Target="https://www.visa.com.kz/ru_kz/visa-offers-and-perk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ub.bcc.kz/" TargetMode="External"/><Relationship Id="rId23" Type="http://schemas.openxmlformats.org/officeDocument/2006/relationships/hyperlink" Target="https://www.visa.com.kz/ru_kz/visa-offers-and-perks/" TargetMode="External"/><Relationship Id="rId28" Type="http://schemas.openxmlformats.org/officeDocument/2006/relationships/footer" Target="footer3.xml"/><Relationship Id="rId10" Type="http://schemas.openxmlformats.org/officeDocument/2006/relationships/image" Target="media/image0.jpg"/><Relationship Id="rId19" Type="http://schemas.openxmlformats.org/officeDocument/2006/relationships/hyperlink" Target="https://www.visa.com.kz/ru_kz/visa-offers-and-perk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club.bcc.kz/" TargetMode="External"/><Relationship Id="rId22" Type="http://schemas.openxmlformats.org/officeDocument/2006/relationships/hyperlink" Target="https://www.visa.com.kz/ru_kz/visa-offers-and-perks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73DB-7002-4288-A110-BA8D1090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1558</Words>
  <Characters>8493</Characters>
  <Application>Microsoft Office Word</Application>
  <DocSecurity>0</DocSecurity>
  <Lines>149</Lines>
  <Paragraphs>67</Paragraphs>
  <ScaleCrop>false</ScaleCrop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Сарсенбаева Айжан Игамбердиевна</dc:creator>
  <cp:keywords/>
  <cp:lastModifiedBy>Хан Валерия Витальевна</cp:lastModifiedBy>
  <cp:revision>2</cp:revision>
  <dcterms:created xsi:type="dcterms:W3CDTF">2026-03-17T11:43:00Z</dcterms:created>
  <dcterms:modified xsi:type="dcterms:W3CDTF">2026-03-17T11:43:00Z</dcterms:modified>
</cp:coreProperties>
</file>