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E1" w:rsidRDefault="009171D6">
      <w:pPr>
        <w:spacing w:after="30" w:line="268" w:lineRule="auto"/>
        <w:ind w:left="1757" w:right="1649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Ставки вознаграждения по вкладам физических лиц, по которым прекращен прием новых вкладов </w:t>
      </w:r>
      <w:r>
        <w:t xml:space="preserve"> </w:t>
      </w:r>
    </w:p>
    <w:p w:rsidR="00F31BE1" w:rsidRDefault="009171D6">
      <w:pPr>
        <w:spacing w:after="0"/>
        <w:ind w:left="17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13996" w:type="dxa"/>
        <w:tblInd w:w="-89" w:type="dxa"/>
        <w:tblCellMar>
          <w:top w:w="16" w:type="dxa"/>
          <w:left w:w="106" w:type="dxa"/>
          <w:bottom w:w="14" w:type="dxa"/>
          <w:right w:w="15" w:type="dxa"/>
        </w:tblCellMar>
        <w:tblLook w:val="04A0" w:firstRow="1" w:lastRow="0" w:firstColumn="1" w:lastColumn="0" w:noHBand="0" w:noVBand="1"/>
      </w:tblPr>
      <w:tblGrid>
        <w:gridCol w:w="2372"/>
        <w:gridCol w:w="1083"/>
        <w:gridCol w:w="899"/>
        <w:gridCol w:w="708"/>
        <w:gridCol w:w="708"/>
        <w:gridCol w:w="660"/>
        <w:gridCol w:w="800"/>
        <w:gridCol w:w="709"/>
        <w:gridCol w:w="707"/>
        <w:gridCol w:w="697"/>
        <w:gridCol w:w="1551"/>
        <w:gridCol w:w="1551"/>
        <w:gridCol w:w="1551"/>
      </w:tblGrid>
      <w:tr w:rsidR="00F31BE1" w:rsidTr="00036039">
        <w:trPr>
          <w:gridAfter w:val="3"/>
          <w:wAfter w:w="4653" w:type="dxa"/>
          <w:trHeight w:val="811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spacing w:after="13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t xml:space="preserve"> </w:t>
            </w:r>
          </w:p>
          <w:p w:rsidR="00F31BE1" w:rsidRDefault="009171D6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Вид вклада </w:t>
            </w:r>
            <w:r>
              <w:t xml:space="preserve"> 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spacing w:after="12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t xml:space="preserve"> </w:t>
            </w:r>
          </w:p>
          <w:p w:rsidR="00F31BE1" w:rsidRDefault="009171D6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Сроки </w:t>
            </w:r>
            <w:r>
              <w:t xml:space="preserve"> </w:t>
            </w:r>
          </w:p>
          <w:p w:rsidR="00F31BE1" w:rsidRDefault="009171D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BE1" w:rsidRDefault="009171D6">
            <w:pPr>
              <w:ind w:left="2"/>
            </w:pPr>
            <w: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1BE1" w:rsidRDefault="009171D6">
            <w:pPr>
              <w:spacing w:after="15"/>
              <w:ind w:right="2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t xml:space="preserve"> </w:t>
            </w:r>
          </w:p>
          <w:p w:rsidR="00F31BE1" w:rsidRDefault="009171D6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Ставки </w:t>
            </w:r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2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BE1" w:rsidRDefault="009171D6">
            <w:pPr>
              <w:ind w:left="2"/>
            </w:pPr>
            <w: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1BE1" w:rsidRDefault="009171D6">
            <w:pPr>
              <w:spacing w:after="12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t xml:space="preserve"> </w:t>
            </w:r>
          </w:p>
          <w:p w:rsidR="00F31BE1" w:rsidRDefault="009171D6">
            <w:pPr>
              <w:ind w:right="1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ГЭСВ </w:t>
            </w:r>
            <w:r>
              <w:t xml:space="preserve"> </w:t>
            </w:r>
          </w:p>
          <w:p w:rsidR="00F31BE1" w:rsidRDefault="009171D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r>
              <w:t xml:space="preserve"> </w:t>
            </w:r>
          </w:p>
        </w:tc>
      </w:tr>
      <w:tr w:rsidR="00F31BE1" w:rsidTr="00036039">
        <w:trPr>
          <w:gridAfter w:val="3"/>
          <w:wAfter w:w="4653" w:type="dxa"/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F31BE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F31BE1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KZT 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USD 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EUR </w:t>
            </w:r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RUR </w:t>
            </w: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KZT 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USD </w:t>
            </w:r>
            <w: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EUR 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RUR </w:t>
            </w:r>
            <w:r>
              <w:t xml:space="preserve"> </w:t>
            </w:r>
          </w:p>
        </w:tc>
      </w:tr>
      <w:tr w:rsidR="00F31BE1" w:rsidTr="00036039">
        <w:trPr>
          <w:gridAfter w:val="3"/>
          <w:wAfter w:w="4653" w:type="dxa"/>
          <w:trHeight w:val="264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«Простое решение» </w:t>
            </w:r>
            <w:r>
              <w:t xml:space="preserve"> </w:t>
            </w:r>
          </w:p>
          <w:p w:rsidR="00F31BE1" w:rsidRDefault="00917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(отменен с 01.10.2018 года)* </w:t>
            </w:r>
            <w: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right="97"/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</w:tr>
      <w:tr w:rsidR="00F31BE1" w:rsidTr="00036039">
        <w:trPr>
          <w:gridAfter w:val="3"/>
          <w:wAfter w:w="4653" w:type="dxa"/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1BE1" w:rsidRDefault="00F31BE1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right="97"/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</w:tr>
      <w:tr w:rsidR="00F31BE1" w:rsidTr="00036039">
        <w:trPr>
          <w:gridAfter w:val="3"/>
          <w:wAfter w:w="4653" w:type="dxa"/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1BE1" w:rsidRDefault="00F31BE1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right="92"/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</w:tr>
      <w:tr w:rsidR="00F31BE1" w:rsidTr="00036039">
        <w:trPr>
          <w:gridAfter w:val="3"/>
          <w:wAfter w:w="4653" w:type="dxa"/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1BE1" w:rsidRDefault="00F31BE1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right="92"/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</w:tr>
      <w:tr w:rsidR="00F31BE1" w:rsidTr="00036039">
        <w:trPr>
          <w:gridAfter w:val="3"/>
          <w:wAfter w:w="4653" w:type="dxa"/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F31BE1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right="92"/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</w:tr>
      <w:tr w:rsidR="00F31BE1" w:rsidTr="00036039">
        <w:trPr>
          <w:gridAfter w:val="3"/>
          <w:wAfter w:w="4653" w:type="dxa"/>
          <w:trHeight w:val="264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spacing w:after="1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«VIP» (отменен с </w:t>
            </w:r>
            <w:r>
              <w:t xml:space="preserve"> </w:t>
            </w:r>
          </w:p>
          <w:p w:rsidR="00F31BE1" w:rsidRDefault="009171D6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01.10.2018 года)* </w:t>
            </w:r>
            <w: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right="92"/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</w:tr>
      <w:tr w:rsidR="00F31BE1" w:rsidTr="00036039">
        <w:trPr>
          <w:gridAfter w:val="3"/>
          <w:wAfter w:w="4653" w:type="dxa"/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1BE1" w:rsidRDefault="00F31BE1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right="92"/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</w:tr>
      <w:tr w:rsidR="00F31BE1" w:rsidTr="00036039">
        <w:trPr>
          <w:gridAfter w:val="3"/>
          <w:wAfter w:w="4653" w:type="dxa"/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1BE1" w:rsidRDefault="00F31BE1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right="92"/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</w:tr>
      <w:tr w:rsidR="00F31BE1" w:rsidTr="00036039">
        <w:trPr>
          <w:gridAfter w:val="3"/>
          <w:wAfter w:w="4653" w:type="dxa"/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1BE1" w:rsidRDefault="00F31BE1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right="92"/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</w:tr>
      <w:tr w:rsidR="00F31BE1" w:rsidTr="00036039">
        <w:trPr>
          <w:gridAfter w:val="3"/>
          <w:wAfter w:w="4653" w:type="dxa"/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1BE1" w:rsidRDefault="00F31BE1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right="92"/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</w:tr>
      <w:tr w:rsidR="00F31BE1" w:rsidTr="00036039">
        <w:trPr>
          <w:gridAfter w:val="3"/>
          <w:wAfter w:w="4653" w:type="dxa"/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F31BE1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right="92"/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0,1%</w:t>
            </w:r>
            <w:r w:rsidRPr="000E51EB">
              <w:rPr>
                <w:sz w:val="20"/>
                <w:szCs w:val="20"/>
              </w:rPr>
              <w:t xml:space="preserve">  </w:t>
            </w:r>
          </w:p>
        </w:tc>
      </w:tr>
      <w:tr w:rsidR="00F31BE1" w:rsidTr="00036039">
        <w:trPr>
          <w:gridAfter w:val="3"/>
          <w:wAfter w:w="4653" w:type="dxa"/>
          <w:trHeight w:val="49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«С собой» (отменен с </w:t>
            </w:r>
            <w:r>
              <w:t xml:space="preserve"> </w:t>
            </w:r>
          </w:p>
          <w:p w:rsidR="00F31BE1" w:rsidRDefault="009171D6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01.10.2018 года)* </w:t>
            </w:r>
            <w: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Pr="000E51EB" w:rsidRDefault="009171D6">
            <w:pPr>
              <w:ind w:right="92"/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Pr="000E51EB" w:rsidRDefault="009171D6">
            <w:pPr>
              <w:ind w:right="89"/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Pr="000E51EB" w:rsidRDefault="009171D6">
            <w:pPr>
              <w:ind w:left="38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Pr="000E51EB" w:rsidRDefault="009171D6">
            <w:pPr>
              <w:ind w:left="38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Pr="000E51EB" w:rsidRDefault="009171D6">
            <w:pPr>
              <w:ind w:left="14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Pr="000E51EB" w:rsidRDefault="009171D6">
            <w:pPr>
              <w:ind w:left="6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Pr="000E51EB" w:rsidRDefault="009171D6">
            <w:pPr>
              <w:ind w:left="38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Pr="000E51EB" w:rsidRDefault="009171D6">
            <w:pPr>
              <w:ind w:left="38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Pr="000E51EB" w:rsidRDefault="009171D6">
            <w:pPr>
              <w:ind w:left="31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</w:tr>
      <w:tr w:rsidR="00F31BE1" w:rsidTr="00036039">
        <w:trPr>
          <w:gridAfter w:val="3"/>
          <w:wAfter w:w="4653" w:type="dxa"/>
          <w:trHeight w:val="61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«Чемпион» на 12 мес. </w:t>
            </w:r>
            <w:r>
              <w:t xml:space="preserve"> </w:t>
            </w:r>
          </w:p>
          <w:p w:rsidR="00F31BE1" w:rsidRDefault="009171D6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(отменена ставка с </w:t>
            </w:r>
            <w:r>
              <w:t xml:space="preserve"> </w:t>
            </w:r>
          </w:p>
          <w:p w:rsidR="00F31BE1" w:rsidRDefault="009171D6">
            <w:pPr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15.10.2018 года)** </w:t>
            </w:r>
            <w: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51EB">
              <w:rPr>
                <w:sz w:val="20"/>
                <w:szCs w:val="20"/>
              </w:rPr>
              <w:t xml:space="preserve"> </w:t>
            </w:r>
          </w:p>
          <w:p w:rsidR="00F31BE1" w:rsidRPr="000E51EB" w:rsidRDefault="009171D6">
            <w:pPr>
              <w:ind w:left="2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51EB">
              <w:rPr>
                <w:sz w:val="20"/>
                <w:szCs w:val="20"/>
              </w:rPr>
              <w:t xml:space="preserve"> </w:t>
            </w:r>
          </w:p>
          <w:p w:rsidR="00F31BE1" w:rsidRPr="000E51EB" w:rsidRDefault="009171D6">
            <w:pPr>
              <w:ind w:right="92"/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Pr="000E51EB" w:rsidRDefault="009171D6">
            <w:pPr>
              <w:ind w:right="89"/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Pr="000E51EB" w:rsidRDefault="009171D6">
            <w:pPr>
              <w:ind w:left="38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Pr="000E51EB" w:rsidRDefault="009171D6">
            <w:pPr>
              <w:ind w:left="38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Pr="000E51EB" w:rsidRDefault="009171D6">
            <w:pPr>
              <w:ind w:left="14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Pr="000E51EB" w:rsidRDefault="009171D6">
            <w:pPr>
              <w:ind w:left="65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Pr="000E51EB" w:rsidRDefault="009171D6">
            <w:pPr>
              <w:ind w:left="38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Pr="000E51EB" w:rsidRDefault="009171D6">
            <w:pPr>
              <w:ind w:left="38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Pr="000E51EB" w:rsidRDefault="009171D6">
            <w:pPr>
              <w:ind w:left="31"/>
              <w:rPr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0,1% </w:t>
            </w:r>
            <w:r w:rsidRPr="000E51EB">
              <w:rPr>
                <w:sz w:val="20"/>
                <w:szCs w:val="20"/>
              </w:rPr>
              <w:t xml:space="preserve"> </w:t>
            </w:r>
          </w:p>
        </w:tc>
      </w:tr>
      <w:tr w:rsidR="00E1262D" w:rsidTr="00036039">
        <w:trPr>
          <w:gridAfter w:val="3"/>
          <w:wAfter w:w="4653" w:type="dxa"/>
          <w:trHeight w:val="211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62D" w:rsidRDefault="00E1262D" w:rsidP="00E1262D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«Чемпион» </w:t>
            </w:r>
          </w:p>
          <w:p w:rsidR="00E1262D" w:rsidRDefault="00E1262D" w:rsidP="00E1262D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(отменена ставка с </w:t>
            </w:r>
            <w:r>
              <w:t xml:space="preserve"> </w:t>
            </w:r>
          </w:p>
          <w:p w:rsidR="00E1262D" w:rsidRDefault="008B72A2" w:rsidP="00E1262D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01.12</w:t>
            </w:r>
            <w:r w:rsidR="00E1262D">
              <w:rPr>
                <w:rFonts w:ascii="Times New Roman" w:eastAsia="Times New Roman" w:hAnsi="Times New Roman" w:cs="Times New Roman"/>
                <w:sz w:val="20"/>
              </w:rPr>
              <w:t>.2023 года)***</w:t>
            </w: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  <w:r w:rsidR="00E1262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1262D"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2D" w:rsidRPr="000E51EB" w:rsidRDefault="00E1262D" w:rsidP="00E1262D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2D" w:rsidRPr="000E51EB" w:rsidRDefault="008B72A2" w:rsidP="00E1262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14,0</w:t>
            </w:r>
            <w:r w:rsidR="00E1262D"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2D" w:rsidRPr="000E51EB" w:rsidRDefault="00E1262D" w:rsidP="00E126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0,75%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2D" w:rsidRPr="000E51EB" w:rsidRDefault="00E1262D" w:rsidP="00E126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2D" w:rsidRPr="000E51EB" w:rsidRDefault="00E1262D" w:rsidP="00E1262D">
            <w:pPr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2D" w:rsidRPr="000E51EB" w:rsidRDefault="008B72A2" w:rsidP="00E126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  <w:r w:rsidR="00E1262D" w:rsidRPr="000E51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2D" w:rsidRPr="000E51EB" w:rsidRDefault="00E1262D" w:rsidP="00E126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2D" w:rsidRPr="000E51EB" w:rsidRDefault="00E1262D" w:rsidP="00E126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2D" w:rsidRPr="000E51EB" w:rsidRDefault="00E1262D" w:rsidP="00E126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E1262D" w:rsidTr="00036039">
        <w:trPr>
          <w:gridAfter w:val="3"/>
          <w:wAfter w:w="4653" w:type="dxa"/>
          <w:trHeight w:val="247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62D" w:rsidRDefault="00E1262D" w:rsidP="00E1262D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2D" w:rsidRPr="000E51EB" w:rsidRDefault="00E1262D" w:rsidP="00E1262D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2D" w:rsidRPr="000E51EB" w:rsidRDefault="00E1262D" w:rsidP="00E126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2D" w:rsidRPr="000E51EB" w:rsidRDefault="00E1262D" w:rsidP="00E126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Pr="000E5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2D" w:rsidRPr="000E51EB" w:rsidRDefault="00E1262D" w:rsidP="00E1262D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2D" w:rsidRPr="000E51EB" w:rsidRDefault="00E1262D" w:rsidP="00E1262D">
            <w:pPr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2D" w:rsidRPr="000E51EB" w:rsidRDefault="00E1262D" w:rsidP="00E1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9,0%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2D" w:rsidRPr="000E51EB" w:rsidRDefault="00E1262D" w:rsidP="00E126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0E51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8%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2D" w:rsidRPr="000E51EB" w:rsidRDefault="00E1262D" w:rsidP="00E12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2D" w:rsidRPr="000E51EB" w:rsidRDefault="00E1262D" w:rsidP="00E1262D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1B4B2A" w:rsidTr="00036039">
        <w:trPr>
          <w:trHeight w:val="237"/>
        </w:trPr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2A" w:rsidRDefault="001B4B2A" w:rsidP="001B4B2A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2A" w:rsidRPr="000E51EB" w:rsidRDefault="001B4B2A" w:rsidP="001B4B2A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1E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2A" w:rsidRPr="000E51EB" w:rsidRDefault="001B4B2A" w:rsidP="001B4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8,2</w:t>
            </w: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2A" w:rsidRPr="000E51EB" w:rsidRDefault="001B4B2A" w:rsidP="001B4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2A" w:rsidRPr="000E51EB" w:rsidRDefault="001B4B2A" w:rsidP="001B4B2A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2A" w:rsidRPr="000E51EB" w:rsidRDefault="001B4B2A" w:rsidP="001B4B2A">
            <w:pPr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2A" w:rsidRPr="000E51EB" w:rsidRDefault="001B4B2A" w:rsidP="001B4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8,5%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2A" w:rsidRPr="000E51EB" w:rsidRDefault="001B4B2A" w:rsidP="001B4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8%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2A" w:rsidRPr="000E51EB" w:rsidRDefault="001B4B2A" w:rsidP="001B4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2A" w:rsidRPr="000E51EB" w:rsidRDefault="001B4B2A" w:rsidP="001B4B2A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1551" w:type="dxa"/>
          </w:tcPr>
          <w:p w:rsidR="001B4B2A" w:rsidRPr="00744F49" w:rsidRDefault="001B4B2A" w:rsidP="001B4B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1B4B2A" w:rsidRPr="006A4D66" w:rsidRDefault="001B4B2A" w:rsidP="001B4B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1" w:type="dxa"/>
          </w:tcPr>
          <w:p w:rsidR="001B4B2A" w:rsidRPr="006A4D66" w:rsidRDefault="001B4B2A" w:rsidP="001B4B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6039" w:rsidTr="00036039">
        <w:trPr>
          <w:trHeight w:val="237"/>
        </w:trPr>
        <w:tc>
          <w:tcPr>
            <w:tcW w:w="23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6039" w:rsidRDefault="00036039" w:rsidP="00036039">
            <w:pPr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Рахмет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36039" w:rsidRDefault="00036039" w:rsidP="00036039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(отменена ставка с </w:t>
            </w:r>
            <w:r>
              <w:t xml:space="preserve"> </w:t>
            </w:r>
          </w:p>
          <w:p w:rsidR="00036039" w:rsidRDefault="00036039" w:rsidP="00036039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10.02.2023 года)***** </w:t>
            </w:r>
            <w: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9,30%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9,70%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1" w:type="dxa"/>
          </w:tcPr>
          <w:p w:rsidR="00036039" w:rsidRPr="00744F49" w:rsidRDefault="00036039" w:rsidP="000360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036039" w:rsidRPr="006A4D66" w:rsidRDefault="00036039" w:rsidP="0003603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1" w:type="dxa"/>
          </w:tcPr>
          <w:p w:rsidR="00036039" w:rsidRPr="006A4D66" w:rsidRDefault="00036039" w:rsidP="0003603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6039" w:rsidTr="00036039">
        <w:trPr>
          <w:gridAfter w:val="3"/>
          <w:wAfter w:w="4653" w:type="dxa"/>
          <w:trHeight w:val="237"/>
        </w:trPr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Default="00036039" w:rsidP="00036039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9,30%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9,70%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36039" w:rsidTr="00036039">
        <w:trPr>
          <w:gridAfter w:val="3"/>
          <w:wAfter w:w="4653" w:type="dxa"/>
          <w:trHeight w:val="237"/>
        </w:trPr>
        <w:tc>
          <w:tcPr>
            <w:tcW w:w="23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6039" w:rsidRPr="00FE4B99" w:rsidRDefault="00036039" w:rsidP="00036039">
            <w:pPr>
              <w:ind w:righ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Рахмет+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(отменен с </w:t>
            </w:r>
            <w:r>
              <w:t xml:space="preserve"> </w:t>
            </w:r>
          </w:p>
          <w:p w:rsidR="00036039" w:rsidRDefault="00036039" w:rsidP="00036039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10.02.2023 года)*****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039" w:rsidRPr="000E51EB" w:rsidRDefault="00036039" w:rsidP="000360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15,50%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16,70%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36039" w:rsidTr="00036039">
        <w:trPr>
          <w:gridAfter w:val="3"/>
          <w:wAfter w:w="4653" w:type="dxa"/>
          <w:trHeight w:val="237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6039" w:rsidRDefault="00036039" w:rsidP="00036039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039" w:rsidRPr="000E51EB" w:rsidRDefault="00036039" w:rsidP="000360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11,80%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12,50%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36039" w:rsidTr="00036039">
        <w:trPr>
          <w:gridAfter w:val="3"/>
          <w:wAfter w:w="4653" w:type="dxa"/>
          <w:trHeight w:val="237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6039" w:rsidRDefault="00036039" w:rsidP="00036039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039" w:rsidRPr="000E51EB" w:rsidRDefault="00036039" w:rsidP="000360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6,10%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6,30%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36039" w:rsidTr="00036039">
        <w:trPr>
          <w:gridAfter w:val="3"/>
          <w:wAfter w:w="4653" w:type="dxa"/>
          <w:trHeight w:val="237"/>
        </w:trPr>
        <w:tc>
          <w:tcPr>
            <w:tcW w:w="23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039" w:rsidRDefault="00036039" w:rsidP="00036039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039" w:rsidRPr="000E51EB" w:rsidRDefault="00036039" w:rsidP="000360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6,10%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6,30%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E51EB" w:rsidTr="00036039">
        <w:trPr>
          <w:gridAfter w:val="3"/>
          <w:wAfter w:w="4653" w:type="dxa"/>
          <w:trHeight w:val="237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51EB" w:rsidRDefault="000E51EB" w:rsidP="000E51EB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«Моя цель» </w:t>
            </w:r>
          </w:p>
          <w:p w:rsidR="000E51EB" w:rsidRDefault="000E51EB" w:rsidP="000E51EB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(отменена ставка с </w:t>
            </w:r>
            <w:r>
              <w:t xml:space="preserve"> </w:t>
            </w:r>
          </w:p>
          <w:p w:rsidR="000E51EB" w:rsidRDefault="00036039" w:rsidP="00036039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10.02.2023 года)*****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EB" w:rsidRPr="000E51EB" w:rsidRDefault="000E51EB" w:rsidP="000E51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EB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11,80%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EB" w:rsidRPr="00036039" w:rsidRDefault="000E51EB" w:rsidP="000E5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EB" w:rsidRPr="00036039" w:rsidRDefault="000E51EB" w:rsidP="000E5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EB" w:rsidRPr="00036039" w:rsidRDefault="000E51EB" w:rsidP="000E5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EB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12,50%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EB" w:rsidRPr="00036039" w:rsidRDefault="000E51EB" w:rsidP="000E5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EB" w:rsidRPr="000E51EB" w:rsidRDefault="000E51EB" w:rsidP="000E51EB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EB" w:rsidRPr="000E51EB" w:rsidRDefault="000E51EB" w:rsidP="000E51EB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36039" w:rsidTr="00036039">
        <w:trPr>
          <w:gridAfter w:val="3"/>
          <w:wAfter w:w="4653" w:type="dxa"/>
          <w:trHeight w:val="237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6039" w:rsidRDefault="00036039" w:rsidP="00036039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6,10%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6,30%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36039" w:rsidTr="00036039">
        <w:trPr>
          <w:gridAfter w:val="3"/>
          <w:wAfter w:w="4653" w:type="dxa"/>
          <w:trHeight w:val="237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6039" w:rsidRDefault="00036039" w:rsidP="00036039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6,10%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6,30%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36039" w:rsidTr="00BC5CC7">
        <w:trPr>
          <w:gridAfter w:val="3"/>
          <w:wAfter w:w="4653" w:type="dxa"/>
          <w:trHeight w:val="237"/>
        </w:trPr>
        <w:tc>
          <w:tcPr>
            <w:tcW w:w="23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039" w:rsidRDefault="00036039" w:rsidP="00036039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6,10%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6,30%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3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E51EB" w:rsidRDefault="00036039" w:rsidP="00036039">
            <w:pPr>
              <w:jc w:val="center"/>
              <w:rPr>
                <w:sz w:val="20"/>
                <w:szCs w:val="20"/>
              </w:rPr>
            </w:pPr>
            <w:r w:rsidRPr="000E51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A23C6" w:rsidTr="00036039">
        <w:trPr>
          <w:gridAfter w:val="3"/>
          <w:wAfter w:w="4653" w:type="dxa"/>
          <w:trHeight w:val="237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23C6" w:rsidRPr="00FE4B99" w:rsidRDefault="009A23C6" w:rsidP="009A23C6">
            <w:pPr>
              <w:ind w:righ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«Эталон»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(отменен с </w:t>
            </w:r>
            <w:r>
              <w:t xml:space="preserve"> </w:t>
            </w:r>
          </w:p>
          <w:p w:rsidR="009A23C6" w:rsidRPr="00744F49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10.02.2023 года)***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Pr="00744F49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Pr="00DF05E0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13,6</w:t>
            </w:r>
            <w:r w:rsidRPr="00DF0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Pr="00DF05E0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5E0">
              <w:rPr>
                <w:rFonts w:ascii="Times New Roman" w:hAnsi="Times New Roman" w:cs="Times New Roman"/>
                <w:sz w:val="20"/>
                <w:szCs w:val="20"/>
              </w:rPr>
              <w:t>0,75%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4924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4924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Pr="00DF05E0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F05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05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Pr="00744F49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625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625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A23C6" w:rsidTr="00036039">
        <w:trPr>
          <w:gridAfter w:val="3"/>
          <w:wAfter w:w="4653" w:type="dxa"/>
          <w:trHeight w:val="237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3C6" w:rsidRPr="00744F49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Pr="00744F49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Pr="009F49C8" w:rsidRDefault="009A23C6" w:rsidP="009A2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9,95%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Pr="00744F49" w:rsidRDefault="009A23C6" w:rsidP="009A2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4924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4924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Pr="00744F49" w:rsidRDefault="009A23C6" w:rsidP="009A2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1626A8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625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625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A23C6" w:rsidTr="00036039">
        <w:trPr>
          <w:gridAfter w:val="3"/>
          <w:wAfter w:w="4653" w:type="dxa"/>
          <w:trHeight w:val="237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3C6" w:rsidRPr="00744F49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Pr="00744F49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Pr="009F49C8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9,95%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CC67C4">
              <w:rPr>
                <w:rFonts w:ascii="Times New Roman" w:hAnsi="Times New Roman" w:cs="Times New Roman"/>
                <w:sz w:val="20"/>
                <w:szCs w:val="20"/>
              </w:rPr>
              <w:t>0,75%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4924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4924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Pr="00744F49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1626A8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625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625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A23C6" w:rsidTr="00036039">
        <w:trPr>
          <w:gridAfter w:val="3"/>
          <w:wAfter w:w="4653" w:type="dxa"/>
          <w:trHeight w:val="237"/>
        </w:trPr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Pr="00744F49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Pr="00744F49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Pr="009F49C8" w:rsidRDefault="009A23C6" w:rsidP="009A2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5,45%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CC67C4">
              <w:rPr>
                <w:rFonts w:ascii="Times New Roman" w:hAnsi="Times New Roman" w:cs="Times New Roman"/>
                <w:sz w:val="20"/>
                <w:szCs w:val="20"/>
              </w:rPr>
              <w:t>0,75%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4924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4924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Pr="00744F49" w:rsidRDefault="009A23C6" w:rsidP="009A2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1626A8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625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625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A23C6" w:rsidTr="00036039">
        <w:trPr>
          <w:gridAfter w:val="3"/>
          <w:wAfter w:w="4653" w:type="dxa"/>
          <w:trHeight w:val="237"/>
        </w:trPr>
        <w:tc>
          <w:tcPr>
            <w:tcW w:w="23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23C6" w:rsidRPr="00FE4B99" w:rsidRDefault="009A23C6" w:rsidP="009A23C6">
            <w:pPr>
              <w:ind w:righ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«Эталон</w:t>
            </w: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(отменен с </w:t>
            </w:r>
            <w:r>
              <w:t xml:space="preserve"> </w:t>
            </w:r>
          </w:p>
          <w:p w:rsidR="009A23C6" w:rsidRPr="00744F49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10.02.2023 года)***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23C6" w:rsidRPr="00744F49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23C6" w:rsidRPr="00DF05E0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9,35%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Pr="00DF05E0" w:rsidRDefault="009A23C6" w:rsidP="009A23C6">
            <w:pPr>
              <w:jc w:val="center"/>
            </w:pPr>
            <w:r w:rsidRPr="00DF05E0">
              <w:rPr>
                <w:rFonts w:ascii="Times New Roman" w:hAnsi="Times New Roman" w:cs="Times New Roman"/>
                <w:sz w:val="20"/>
                <w:szCs w:val="20"/>
              </w:rPr>
              <w:t>0,75%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4924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4924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23C6" w:rsidRPr="00DF05E0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5E0">
              <w:rPr>
                <w:rFonts w:ascii="Times New Roman" w:hAnsi="Times New Roman" w:cs="Times New Roman"/>
                <w:sz w:val="20"/>
                <w:szCs w:val="20"/>
              </w:rPr>
              <w:t>9,8%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1626A8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625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625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A23C6" w:rsidTr="00036039">
        <w:trPr>
          <w:gridAfter w:val="3"/>
          <w:wAfter w:w="4653" w:type="dxa"/>
          <w:trHeight w:val="237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3C6" w:rsidRPr="00744F49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23C6" w:rsidRPr="00744F49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23C6" w:rsidRPr="009F49C8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CC67C4">
              <w:rPr>
                <w:rFonts w:ascii="Times New Roman" w:hAnsi="Times New Roman" w:cs="Times New Roman"/>
                <w:sz w:val="20"/>
                <w:szCs w:val="20"/>
              </w:rPr>
              <w:t>0,75%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4924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4924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23C6" w:rsidRPr="00962506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1626A8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625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625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A23C6" w:rsidTr="00036039">
        <w:trPr>
          <w:gridAfter w:val="3"/>
          <w:wAfter w:w="4653" w:type="dxa"/>
          <w:trHeight w:val="237"/>
        </w:trPr>
        <w:tc>
          <w:tcPr>
            <w:tcW w:w="2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3C6" w:rsidRPr="00744F49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23C6" w:rsidRPr="00744F49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23C6" w:rsidRPr="009F49C8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CC67C4">
              <w:rPr>
                <w:rFonts w:ascii="Times New Roman" w:hAnsi="Times New Roman" w:cs="Times New Roman"/>
                <w:sz w:val="20"/>
                <w:szCs w:val="20"/>
              </w:rPr>
              <w:t>0,75%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4924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4924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23C6" w:rsidRPr="00744F49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1626A8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625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625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A23C6" w:rsidTr="00036039">
        <w:trPr>
          <w:gridAfter w:val="3"/>
          <w:wAfter w:w="4653" w:type="dxa"/>
          <w:trHeight w:val="237"/>
        </w:trPr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Pr="00744F49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23C6" w:rsidRPr="00744F49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23C6" w:rsidRPr="009F49C8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CC67C4">
              <w:rPr>
                <w:rFonts w:ascii="Times New Roman" w:hAnsi="Times New Roman" w:cs="Times New Roman"/>
                <w:sz w:val="20"/>
                <w:szCs w:val="20"/>
              </w:rPr>
              <w:t>0,75%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4924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4924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23C6" w:rsidRPr="00744F49" w:rsidRDefault="009A23C6" w:rsidP="009A2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1626A8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625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C6" w:rsidRDefault="009A23C6" w:rsidP="009A23C6">
            <w:pPr>
              <w:jc w:val="center"/>
            </w:pPr>
            <w:r w:rsidRPr="00625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F31BE1" w:rsidRDefault="009171D6">
      <w:pPr>
        <w:spacing w:after="0"/>
        <w:ind w:left="17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F31BE1" w:rsidRDefault="009171D6" w:rsidP="00E1262D">
      <w:pPr>
        <w:spacing w:after="0" w:line="234" w:lineRule="auto"/>
        <w:ind w:left="5" w:hanging="20"/>
      </w:pPr>
      <w:r>
        <w:rPr>
          <w:rFonts w:ascii="Times New Roman" w:eastAsia="Times New Roman" w:hAnsi="Times New Roman" w:cs="Times New Roman"/>
          <w:sz w:val="16"/>
        </w:rPr>
        <w:t xml:space="preserve">*Ставки вознаграждения утверждены Комитетом по управлению финансами и рисками №23 (внеочередной) от 25.09.2018 года с вводом в действие с 01.10.2018 года </w:t>
      </w:r>
      <w:r>
        <w:t xml:space="preserve"> </w:t>
      </w:r>
    </w:p>
    <w:p w:rsidR="00F31BE1" w:rsidRDefault="009171D6" w:rsidP="00E1262D">
      <w:pPr>
        <w:spacing w:after="0" w:line="235" w:lineRule="auto"/>
        <w:ind w:left="6" w:hanging="23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** Ставки вознаграждения утверждены Комитетом по управлению финансами и рисками №25 от 09.10.2018 года с вводом в действие с 15.10.2018 года  </w:t>
      </w:r>
    </w:p>
    <w:p w:rsidR="00E1262D" w:rsidRPr="00E1262D" w:rsidRDefault="00E1262D" w:rsidP="00E1262D">
      <w:pPr>
        <w:spacing w:after="0" w:line="235" w:lineRule="auto"/>
        <w:ind w:left="6" w:hanging="23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lastRenderedPageBreak/>
        <w:t>***</w:t>
      </w:r>
      <w:r w:rsidRPr="00E1262D">
        <w:rPr>
          <w:rFonts w:ascii="Times New Roman" w:hAnsi="Times New Roman" w:cs="Times New Roman"/>
        </w:rPr>
        <w:t xml:space="preserve"> </w:t>
      </w:r>
      <w:r w:rsidRPr="00E1262D">
        <w:rPr>
          <w:rFonts w:ascii="Times New Roman" w:eastAsia="Times New Roman" w:hAnsi="Times New Roman" w:cs="Times New Roman"/>
          <w:sz w:val="16"/>
        </w:rPr>
        <w:t>Ставки вознаграждения утверждены Комитетом по управлению финансами и рисками №31 (внеочередной) от 27.10.2022 года с вводом в действие с 01.11.2022 года</w:t>
      </w:r>
    </w:p>
    <w:p w:rsidR="008B72A2" w:rsidRPr="00E1262D" w:rsidRDefault="009171D6" w:rsidP="008B72A2">
      <w:pPr>
        <w:spacing w:after="0" w:line="235" w:lineRule="auto"/>
        <w:ind w:left="6" w:hanging="23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8B72A2">
        <w:rPr>
          <w:rFonts w:ascii="Times New Roman" w:eastAsia="Times New Roman" w:hAnsi="Times New Roman" w:cs="Times New Roman"/>
          <w:sz w:val="16"/>
        </w:rPr>
        <w:t>****</w:t>
      </w:r>
      <w:r w:rsidR="008B72A2" w:rsidRPr="00E1262D">
        <w:rPr>
          <w:rFonts w:ascii="Times New Roman" w:hAnsi="Times New Roman" w:cs="Times New Roman"/>
        </w:rPr>
        <w:t xml:space="preserve"> </w:t>
      </w:r>
      <w:r w:rsidR="008B72A2" w:rsidRPr="00E1262D">
        <w:rPr>
          <w:rFonts w:ascii="Times New Roman" w:eastAsia="Times New Roman" w:hAnsi="Times New Roman" w:cs="Times New Roman"/>
          <w:sz w:val="16"/>
        </w:rPr>
        <w:t xml:space="preserve">Ставки вознаграждения утверждены Комитетом по управлению финансами и </w:t>
      </w:r>
      <w:r w:rsidR="008B72A2" w:rsidRPr="001461C3">
        <w:rPr>
          <w:rFonts w:ascii="Times New Roman" w:eastAsia="Times New Roman" w:hAnsi="Times New Roman" w:cs="Times New Roman"/>
          <w:sz w:val="16"/>
        </w:rPr>
        <w:t xml:space="preserve">рисками </w:t>
      </w:r>
      <w:r w:rsidR="001461C3" w:rsidRPr="001461C3">
        <w:rPr>
          <w:rFonts w:ascii="Times New Roman" w:eastAsia="Times New Roman" w:hAnsi="Times New Roman" w:cs="Times New Roman"/>
          <w:sz w:val="16"/>
        </w:rPr>
        <w:t>№30</w:t>
      </w:r>
      <w:r w:rsidR="008B72A2" w:rsidRPr="001461C3">
        <w:rPr>
          <w:rFonts w:ascii="Times New Roman" w:eastAsia="Times New Roman" w:hAnsi="Times New Roman" w:cs="Times New Roman"/>
          <w:sz w:val="16"/>
        </w:rPr>
        <w:t xml:space="preserve"> (внеочередной) от </w:t>
      </w:r>
      <w:r w:rsidR="001461C3" w:rsidRPr="001461C3">
        <w:rPr>
          <w:rFonts w:ascii="Times New Roman" w:eastAsia="Times New Roman" w:hAnsi="Times New Roman" w:cs="Times New Roman"/>
          <w:sz w:val="16"/>
        </w:rPr>
        <w:t>29</w:t>
      </w:r>
      <w:r w:rsidR="001461C3">
        <w:rPr>
          <w:rFonts w:ascii="Times New Roman" w:eastAsia="Times New Roman" w:hAnsi="Times New Roman" w:cs="Times New Roman"/>
          <w:sz w:val="16"/>
        </w:rPr>
        <w:t>.11.2023</w:t>
      </w:r>
      <w:r w:rsidR="008B72A2" w:rsidRPr="00E1262D">
        <w:rPr>
          <w:rFonts w:ascii="Times New Roman" w:eastAsia="Times New Roman" w:hAnsi="Times New Roman" w:cs="Times New Roman"/>
          <w:sz w:val="16"/>
        </w:rPr>
        <w:t xml:space="preserve"> </w:t>
      </w:r>
      <w:r w:rsidR="008B72A2">
        <w:rPr>
          <w:rFonts w:ascii="Times New Roman" w:eastAsia="Times New Roman" w:hAnsi="Times New Roman" w:cs="Times New Roman"/>
          <w:sz w:val="16"/>
        </w:rPr>
        <w:t>года с вводом в действие с 01.12.2023</w:t>
      </w:r>
      <w:r w:rsidR="008B72A2" w:rsidRPr="00E1262D">
        <w:rPr>
          <w:rFonts w:ascii="Times New Roman" w:eastAsia="Times New Roman" w:hAnsi="Times New Roman" w:cs="Times New Roman"/>
          <w:sz w:val="16"/>
        </w:rPr>
        <w:t xml:space="preserve"> года</w:t>
      </w:r>
    </w:p>
    <w:p w:rsidR="00036039" w:rsidRPr="00E1262D" w:rsidRDefault="00036039" w:rsidP="00036039">
      <w:pPr>
        <w:spacing w:after="0" w:line="235" w:lineRule="auto"/>
        <w:ind w:left="6" w:hanging="23"/>
        <w:rPr>
          <w:rFonts w:ascii="Times New Roman" w:eastAsia="Times New Roman" w:hAnsi="Times New Roman" w:cs="Times New Roman"/>
          <w:sz w:val="16"/>
        </w:rPr>
      </w:pPr>
      <w:r w:rsidRPr="00036039">
        <w:rPr>
          <w:rFonts w:ascii="Times New Roman" w:eastAsia="Times New Roman" w:hAnsi="Times New Roman" w:cs="Times New Roman"/>
          <w:sz w:val="16"/>
        </w:rPr>
        <w:t xml:space="preserve">***** </w:t>
      </w:r>
      <w:r w:rsidRPr="00E1262D">
        <w:rPr>
          <w:rFonts w:ascii="Times New Roman" w:eastAsia="Times New Roman" w:hAnsi="Times New Roman" w:cs="Times New Roman"/>
          <w:sz w:val="16"/>
        </w:rPr>
        <w:t xml:space="preserve">Ставки вознаграждения утверждены Комитетом по управлению финансами и </w:t>
      </w:r>
      <w:r w:rsidRPr="001461C3">
        <w:rPr>
          <w:rFonts w:ascii="Times New Roman" w:eastAsia="Times New Roman" w:hAnsi="Times New Roman" w:cs="Times New Roman"/>
          <w:sz w:val="16"/>
        </w:rPr>
        <w:t xml:space="preserve">рисками </w:t>
      </w:r>
      <w:r>
        <w:rPr>
          <w:rFonts w:ascii="Times New Roman" w:eastAsia="Times New Roman" w:hAnsi="Times New Roman" w:cs="Times New Roman"/>
          <w:sz w:val="16"/>
        </w:rPr>
        <w:t>№1</w:t>
      </w:r>
      <w:r w:rsidRPr="001461C3">
        <w:rPr>
          <w:rFonts w:ascii="Times New Roman" w:eastAsia="Times New Roman" w:hAnsi="Times New Roman" w:cs="Times New Roman"/>
          <w:sz w:val="16"/>
        </w:rPr>
        <w:t xml:space="preserve"> (внеочередной) от </w:t>
      </w:r>
      <w:r>
        <w:rPr>
          <w:rFonts w:ascii="Times New Roman" w:eastAsia="Times New Roman" w:hAnsi="Times New Roman" w:cs="Times New Roman"/>
          <w:sz w:val="16"/>
        </w:rPr>
        <w:t>05.01.2024</w:t>
      </w:r>
      <w:r w:rsidRPr="00E1262D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года с вводом в действие с </w:t>
      </w:r>
      <w:r>
        <w:rPr>
          <w:rFonts w:ascii="Times New Roman" w:eastAsia="Times New Roman" w:hAnsi="Times New Roman" w:cs="Times New Roman"/>
          <w:sz w:val="16"/>
        </w:rPr>
        <w:t>15.01.2024</w:t>
      </w:r>
      <w:r w:rsidRPr="00E1262D">
        <w:rPr>
          <w:rFonts w:ascii="Times New Roman" w:eastAsia="Times New Roman" w:hAnsi="Times New Roman" w:cs="Times New Roman"/>
          <w:sz w:val="16"/>
        </w:rPr>
        <w:t xml:space="preserve"> года</w:t>
      </w:r>
    </w:p>
    <w:p w:rsidR="00F31BE1" w:rsidRDefault="00F31BE1">
      <w:pPr>
        <w:spacing w:after="12"/>
      </w:pPr>
    </w:p>
    <w:p w:rsidR="00F31BE1" w:rsidRDefault="009171D6">
      <w:pPr>
        <w:spacing w:after="1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F31BE1" w:rsidRDefault="009171D6">
      <w:pPr>
        <w:spacing w:after="5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F31BE1" w:rsidRDefault="009171D6">
      <w:pPr>
        <w:spacing w:after="30" w:line="268" w:lineRule="auto"/>
        <w:ind w:left="45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Ставки вознаграждения по вкладам физических лиц, мигрированным с АО «Eco Сenter Bank» (ДБ АО «Банк ЦентрКредит»)*  </w:t>
      </w:r>
    </w:p>
    <w:p w:rsidR="00F31BE1" w:rsidRDefault="009171D6">
      <w:pPr>
        <w:spacing w:after="0"/>
        <w:ind w:left="17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9316" w:type="dxa"/>
        <w:tblInd w:w="-89" w:type="dxa"/>
        <w:tblCellMar>
          <w:top w:w="15" w:type="dxa"/>
          <w:bottom w:w="11" w:type="dxa"/>
          <w:right w:w="10" w:type="dxa"/>
        </w:tblCellMar>
        <w:tblLook w:val="04A0" w:firstRow="1" w:lastRow="0" w:firstColumn="1" w:lastColumn="0" w:noHBand="0" w:noVBand="1"/>
      </w:tblPr>
      <w:tblGrid>
        <w:gridCol w:w="2373"/>
        <w:gridCol w:w="1087"/>
        <w:gridCol w:w="895"/>
        <w:gridCol w:w="711"/>
        <w:gridCol w:w="708"/>
        <w:gridCol w:w="667"/>
        <w:gridCol w:w="759"/>
        <w:gridCol w:w="710"/>
        <w:gridCol w:w="708"/>
        <w:gridCol w:w="698"/>
      </w:tblGrid>
      <w:tr w:rsidR="00F31BE1" w:rsidTr="00036039">
        <w:trPr>
          <w:trHeight w:val="811"/>
        </w:trPr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spacing w:after="13"/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t xml:space="preserve"> </w:t>
            </w:r>
          </w:p>
          <w:p w:rsidR="00F31BE1" w:rsidRDefault="009171D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Вид вклада </w:t>
            </w:r>
            <w:r>
              <w:t xml:space="preserve"> 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spacing w:after="12"/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t xml:space="preserve"> </w:t>
            </w:r>
          </w:p>
          <w:p w:rsidR="00F31BE1" w:rsidRDefault="009171D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Сроки </w:t>
            </w:r>
            <w:r>
              <w:t xml:space="preserve"> </w:t>
            </w:r>
          </w:p>
          <w:p w:rsidR="00F31BE1" w:rsidRDefault="009171D6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BE1" w:rsidRDefault="009171D6">
            <w:pPr>
              <w:ind w:left="106"/>
            </w:pPr>
            <w: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1BE1" w:rsidRDefault="009171D6">
            <w:pPr>
              <w:spacing w:after="15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t xml:space="preserve"> </w:t>
            </w:r>
          </w:p>
          <w:p w:rsidR="00F31BE1" w:rsidRDefault="009171D6">
            <w:pPr>
              <w:ind w:left="25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Ставки </w:t>
            </w: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106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BE1" w:rsidRDefault="009171D6">
            <w:pPr>
              <w:ind w:left="108"/>
            </w:pP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1BE1" w:rsidRDefault="009171D6">
            <w:pPr>
              <w:spacing w:after="12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t xml:space="preserve"> </w:t>
            </w:r>
          </w:p>
          <w:p w:rsidR="00F31BE1" w:rsidRDefault="009171D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ГЭСВ </w:t>
            </w:r>
            <w:r>
              <w:t xml:space="preserve"> </w:t>
            </w:r>
          </w:p>
          <w:p w:rsidR="00F31BE1" w:rsidRDefault="009171D6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106"/>
            </w:pPr>
            <w:r>
              <w:t xml:space="preserve"> </w:t>
            </w:r>
          </w:p>
        </w:tc>
      </w:tr>
      <w:tr w:rsidR="00F31BE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F31BE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F31BE1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KZT </w:t>
            </w: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15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USD 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EUR </w:t>
            </w: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RUR </w:t>
            </w: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KZT 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USD 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EUR </w:t>
            </w: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RUR </w:t>
            </w:r>
            <w:r>
              <w:t xml:space="preserve"> </w:t>
            </w:r>
          </w:p>
        </w:tc>
      </w:tr>
      <w:tr w:rsidR="00F31BE1" w:rsidTr="00036039">
        <w:trPr>
          <w:trHeight w:val="269"/>
        </w:trPr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«Гибкий»</w:t>
            </w:r>
            <w:r w:rsidR="008B72A2">
              <w:rPr>
                <w:rFonts w:ascii="Times New Roman" w:eastAsia="Times New Roman" w:hAnsi="Times New Roman" w:cs="Times New Roman"/>
                <w:sz w:val="20"/>
              </w:rPr>
              <w:t>**</w:t>
            </w:r>
            <w:r w:rsidR="00036039">
              <w:rPr>
                <w:rFonts w:ascii="Times New Roman" w:eastAsia="Times New Roman" w:hAnsi="Times New Roman" w:cs="Times New Roman"/>
                <w:sz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8B72A2">
            <w:pPr>
              <w:ind w:left="170"/>
            </w:pPr>
            <w:r>
              <w:rPr>
                <w:sz w:val="20"/>
              </w:rPr>
              <w:t>13,90</w:t>
            </w:r>
            <w:r w:rsidR="009171D6">
              <w:rPr>
                <w:sz w:val="20"/>
              </w:rPr>
              <w:t xml:space="preserve">%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108"/>
            </w:pPr>
            <w:r>
              <w:rPr>
                <w:sz w:val="20"/>
              </w:rPr>
              <w:t xml:space="preserve">1,00% 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49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106"/>
            </w:pPr>
            <w:r>
              <w:rPr>
                <w:sz w:val="20"/>
              </w:rPr>
              <w:t xml:space="preserve">1,00%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 w:rsidP="008B72A2">
            <w:pPr>
              <w:ind w:left="-19"/>
              <w:jc w:val="both"/>
            </w:pPr>
            <w:r>
              <w:t xml:space="preserve"> </w:t>
            </w:r>
            <w:r w:rsidR="008B72A2">
              <w:rPr>
                <w:sz w:val="20"/>
              </w:rPr>
              <w:t>14,9</w:t>
            </w:r>
            <w:r>
              <w:rPr>
                <w:sz w:val="20"/>
              </w:rPr>
              <w:t xml:space="preserve">%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106"/>
            </w:pPr>
            <w:r>
              <w:rPr>
                <w:sz w:val="20"/>
              </w:rPr>
              <w:t xml:space="preserve">1,0% 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49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106"/>
            </w:pPr>
            <w:r>
              <w:rPr>
                <w:sz w:val="20"/>
              </w:rPr>
              <w:t xml:space="preserve">1,0% </w:t>
            </w:r>
            <w:r>
              <w:t xml:space="preserve"> </w:t>
            </w:r>
          </w:p>
        </w:tc>
      </w:tr>
      <w:tr w:rsidR="00F31BE1" w:rsidTr="00036039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F31BE1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ind w:firstLineChars="100" w:firstLine="200"/>
              <w:rPr>
                <w:sz w:val="20"/>
              </w:rPr>
            </w:pPr>
            <w:r w:rsidRPr="00036039">
              <w:rPr>
                <w:sz w:val="20"/>
              </w:rPr>
              <w:t>8,65%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36039" w:rsidRDefault="009171D6">
            <w:pPr>
              <w:ind w:left="108"/>
              <w:rPr>
                <w:sz w:val="20"/>
              </w:rPr>
            </w:pPr>
            <w:r>
              <w:rPr>
                <w:sz w:val="20"/>
              </w:rPr>
              <w:t xml:space="preserve">1,00% </w:t>
            </w:r>
            <w:r w:rsidRPr="00036039"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36039" w:rsidRDefault="009171D6">
            <w:pPr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36039" w:rsidRDefault="009171D6">
            <w:pPr>
              <w:ind w:left="106"/>
              <w:rPr>
                <w:sz w:val="20"/>
              </w:rPr>
            </w:pPr>
            <w:r>
              <w:rPr>
                <w:sz w:val="20"/>
              </w:rPr>
              <w:t xml:space="preserve">1,00%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36039" w:rsidRDefault="009171D6" w:rsidP="00036039">
            <w:pPr>
              <w:ind w:left="-19"/>
              <w:jc w:val="both"/>
              <w:rPr>
                <w:sz w:val="20"/>
              </w:rPr>
            </w:pPr>
            <w:r w:rsidRPr="00036039">
              <w:rPr>
                <w:sz w:val="20"/>
              </w:rPr>
              <w:t xml:space="preserve"> </w:t>
            </w:r>
            <w:r w:rsidR="00036039" w:rsidRPr="00036039">
              <w:rPr>
                <w:sz w:val="20"/>
              </w:rPr>
              <w:t>9,00%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Pr="00036039" w:rsidRDefault="009171D6">
            <w:pPr>
              <w:ind w:left="106"/>
              <w:rPr>
                <w:sz w:val="20"/>
              </w:rPr>
            </w:pPr>
            <w:r>
              <w:rPr>
                <w:sz w:val="20"/>
              </w:rPr>
              <w:t xml:space="preserve">1,0% </w:t>
            </w:r>
            <w:r w:rsidRPr="00036039"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49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106"/>
            </w:pPr>
            <w:r>
              <w:rPr>
                <w:sz w:val="20"/>
              </w:rPr>
              <w:t xml:space="preserve">1,0% </w:t>
            </w:r>
            <w:r>
              <w:t xml:space="preserve"> </w:t>
            </w:r>
          </w:p>
        </w:tc>
      </w:tr>
      <w:tr w:rsidR="00036039" w:rsidTr="000E1417">
        <w:trPr>
          <w:trHeight w:val="266"/>
        </w:trPr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Default="00036039" w:rsidP="0003603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«Надежный»*** </w:t>
            </w:r>
            <w: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Default="00036039" w:rsidP="0003603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39" w:rsidRPr="00036039" w:rsidRDefault="00036039" w:rsidP="00036039">
            <w:pPr>
              <w:jc w:val="center"/>
              <w:rPr>
                <w:sz w:val="20"/>
              </w:rPr>
            </w:pPr>
            <w:r w:rsidRPr="00036039">
              <w:rPr>
                <w:sz w:val="20"/>
              </w:rPr>
              <w:t>11,80%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1,00%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1,00%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39" w:rsidRPr="00036039" w:rsidRDefault="00036039" w:rsidP="00036039">
            <w:pPr>
              <w:jc w:val="center"/>
              <w:rPr>
                <w:sz w:val="20"/>
              </w:rPr>
            </w:pPr>
            <w:r w:rsidRPr="00036039">
              <w:rPr>
                <w:sz w:val="20"/>
              </w:rPr>
              <w:t>12,50%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ind w:left="106"/>
              <w:rPr>
                <w:sz w:val="20"/>
              </w:rPr>
            </w:pPr>
            <w:r>
              <w:rPr>
                <w:sz w:val="20"/>
              </w:rPr>
              <w:t xml:space="preserve">1,0% </w:t>
            </w:r>
            <w:r w:rsidRPr="00036039"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Default="00036039" w:rsidP="00036039">
            <w:pPr>
              <w:ind w:left="49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Default="00036039" w:rsidP="00036039">
            <w:pPr>
              <w:ind w:left="106"/>
            </w:pPr>
            <w:r>
              <w:rPr>
                <w:sz w:val="20"/>
              </w:rPr>
              <w:t xml:space="preserve">1,0% </w:t>
            </w:r>
            <w:r>
              <w:t xml:space="preserve"> </w:t>
            </w:r>
          </w:p>
        </w:tc>
      </w:tr>
      <w:tr w:rsidR="00036039" w:rsidTr="000E141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Default="00036039" w:rsidP="00036039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Default="00036039" w:rsidP="0003603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39" w:rsidRPr="00036039" w:rsidRDefault="00036039" w:rsidP="00036039">
            <w:pPr>
              <w:jc w:val="center"/>
              <w:rPr>
                <w:sz w:val="20"/>
              </w:rPr>
            </w:pPr>
            <w:r w:rsidRPr="00036039">
              <w:rPr>
                <w:sz w:val="20"/>
              </w:rPr>
              <w:t>6,10%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1,00%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1,00%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39" w:rsidRPr="00036039" w:rsidRDefault="00036039" w:rsidP="00036039">
            <w:pPr>
              <w:jc w:val="center"/>
              <w:rPr>
                <w:sz w:val="20"/>
              </w:rPr>
            </w:pPr>
            <w:r w:rsidRPr="00036039">
              <w:rPr>
                <w:sz w:val="20"/>
              </w:rPr>
              <w:t>6,30%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Pr="00036039" w:rsidRDefault="00036039" w:rsidP="00036039">
            <w:pPr>
              <w:ind w:left="106"/>
              <w:rPr>
                <w:sz w:val="20"/>
              </w:rPr>
            </w:pPr>
            <w:r>
              <w:rPr>
                <w:sz w:val="20"/>
              </w:rPr>
              <w:t xml:space="preserve">1,0% </w:t>
            </w:r>
            <w:r w:rsidRPr="00036039"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Default="00036039" w:rsidP="00036039">
            <w:pPr>
              <w:ind w:left="49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039" w:rsidRDefault="00036039" w:rsidP="00036039">
            <w:pPr>
              <w:ind w:left="106"/>
            </w:pPr>
            <w:r>
              <w:rPr>
                <w:sz w:val="20"/>
              </w:rPr>
              <w:t xml:space="preserve">1,0% </w:t>
            </w:r>
            <w:r>
              <w:t xml:space="preserve"> </w:t>
            </w:r>
          </w:p>
        </w:tc>
      </w:tr>
      <w:tr w:rsidR="00F31BE1" w:rsidTr="00036039">
        <w:trPr>
          <w:trHeight w:val="509"/>
        </w:trPr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9171D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«Прогресс» </w:t>
            </w:r>
            <w: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170"/>
            </w:pPr>
            <w:r>
              <w:rPr>
                <w:sz w:val="20"/>
              </w:rPr>
              <w:t>13,10%</w:t>
            </w: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130"/>
            </w:pPr>
            <w:r>
              <w:rPr>
                <w:sz w:val="20"/>
              </w:rPr>
              <w:t xml:space="preserve">1,00%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125"/>
            </w:pPr>
            <w:r>
              <w:rPr>
                <w:sz w:val="20"/>
              </w:rPr>
              <w:t xml:space="preserve">0,00%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106"/>
            </w:pPr>
            <w:r>
              <w:rPr>
                <w:sz w:val="20"/>
              </w:rPr>
              <w:t xml:space="preserve">0,50%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151"/>
            </w:pPr>
            <w:r>
              <w:rPr>
                <w:sz w:val="20"/>
              </w:rPr>
              <w:t xml:space="preserve">14,0%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49"/>
              <w:jc w:val="center"/>
            </w:pPr>
            <w:r>
              <w:rPr>
                <w:sz w:val="20"/>
              </w:rPr>
              <w:t xml:space="preserve">1,0%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175"/>
            </w:pPr>
            <w:r>
              <w:rPr>
                <w:sz w:val="20"/>
              </w:rPr>
              <w:t xml:space="preserve">0,0%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right="107"/>
              <w:jc w:val="right"/>
            </w:pPr>
            <w:r>
              <w:rPr>
                <w:sz w:val="20"/>
              </w:rPr>
              <w:t xml:space="preserve">0,5% </w:t>
            </w:r>
          </w:p>
        </w:tc>
      </w:tr>
      <w:tr w:rsidR="00F31BE1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1BE1" w:rsidRDefault="00F31BE1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170"/>
            </w:pPr>
            <w:r>
              <w:rPr>
                <w:sz w:val="20"/>
              </w:rPr>
              <w:t>12,20%</w:t>
            </w: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130"/>
            </w:pPr>
            <w:r>
              <w:rPr>
                <w:sz w:val="20"/>
              </w:rPr>
              <w:t xml:space="preserve">0,30%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125"/>
            </w:pPr>
            <w:r>
              <w:rPr>
                <w:sz w:val="20"/>
              </w:rPr>
              <w:t xml:space="preserve">0,00%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47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151"/>
            </w:pPr>
            <w:r>
              <w:rPr>
                <w:sz w:val="20"/>
              </w:rPr>
              <w:t xml:space="preserve">13,0%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49"/>
              <w:jc w:val="center"/>
            </w:pPr>
            <w:r>
              <w:rPr>
                <w:sz w:val="20"/>
              </w:rPr>
              <w:t xml:space="preserve">0,3%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175"/>
            </w:pPr>
            <w:r>
              <w:rPr>
                <w:sz w:val="20"/>
              </w:rPr>
              <w:t xml:space="preserve">0,0%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49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F31BE1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E1" w:rsidRDefault="00F31BE1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170"/>
            </w:pPr>
            <w:r>
              <w:rPr>
                <w:sz w:val="20"/>
              </w:rPr>
              <w:t>13,10%</w:t>
            </w: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130"/>
            </w:pPr>
            <w:r>
              <w:rPr>
                <w:sz w:val="20"/>
              </w:rPr>
              <w:t xml:space="preserve">1,00%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125"/>
            </w:pPr>
            <w:r>
              <w:rPr>
                <w:sz w:val="20"/>
              </w:rPr>
              <w:t xml:space="preserve">0,00%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47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151"/>
            </w:pPr>
            <w:r>
              <w:rPr>
                <w:sz w:val="20"/>
              </w:rPr>
              <w:t xml:space="preserve">14,0%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49"/>
              <w:jc w:val="center"/>
            </w:pPr>
            <w:r>
              <w:rPr>
                <w:sz w:val="20"/>
              </w:rPr>
              <w:t xml:space="preserve">1,0%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175"/>
            </w:pPr>
            <w:r>
              <w:rPr>
                <w:sz w:val="20"/>
              </w:rPr>
              <w:t xml:space="preserve">0,0%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BE1" w:rsidRDefault="009171D6">
            <w:pPr>
              <w:ind w:left="49"/>
              <w:jc w:val="center"/>
            </w:pPr>
            <w:r>
              <w:rPr>
                <w:sz w:val="20"/>
              </w:rPr>
              <w:t xml:space="preserve">- </w:t>
            </w:r>
          </w:p>
        </w:tc>
      </w:tr>
    </w:tbl>
    <w:p w:rsidR="00F31BE1" w:rsidRDefault="009171D6">
      <w:pPr>
        <w:spacing w:after="0"/>
        <w:ind w:left="14"/>
      </w:pPr>
      <w:r>
        <w:t xml:space="preserve"> </w:t>
      </w:r>
    </w:p>
    <w:p w:rsidR="00F31BE1" w:rsidRDefault="009171D6">
      <w:pPr>
        <w:spacing w:after="3" w:line="234" w:lineRule="auto"/>
        <w:ind w:left="5" w:hanging="20"/>
      </w:pPr>
      <w:r>
        <w:rPr>
          <w:rFonts w:ascii="Times New Roman" w:eastAsia="Times New Roman" w:hAnsi="Times New Roman" w:cs="Times New Roman"/>
          <w:sz w:val="16"/>
        </w:rPr>
        <w:t>*</w:t>
      </w:r>
      <w:r w:rsidR="008B72A2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Ставки вознаграждения утверждены Комитетом по управлению финансами и рисками №31 (внеочередной) от 27.10.2022 года с вводом в действие с 01.11.2022 года </w:t>
      </w:r>
      <w:r>
        <w:t xml:space="preserve"> </w:t>
      </w:r>
    </w:p>
    <w:p w:rsidR="008B72A2" w:rsidRPr="00E1262D" w:rsidRDefault="008B72A2" w:rsidP="008B72A2">
      <w:pPr>
        <w:spacing w:after="0" w:line="235" w:lineRule="auto"/>
        <w:ind w:left="6" w:hanging="23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**</w:t>
      </w:r>
      <w:r w:rsidR="00036039">
        <w:rPr>
          <w:rFonts w:ascii="Times New Roman" w:eastAsia="Times New Roman" w:hAnsi="Times New Roman" w:cs="Times New Roman"/>
          <w:sz w:val="16"/>
        </w:rPr>
        <w:t>*</w:t>
      </w:r>
      <w:r w:rsidRPr="00E1262D">
        <w:rPr>
          <w:rFonts w:ascii="Times New Roman" w:hAnsi="Times New Roman" w:cs="Times New Roman"/>
        </w:rPr>
        <w:t xml:space="preserve"> </w:t>
      </w:r>
      <w:r w:rsidRPr="00E1262D">
        <w:rPr>
          <w:rFonts w:ascii="Times New Roman" w:eastAsia="Times New Roman" w:hAnsi="Times New Roman" w:cs="Times New Roman"/>
          <w:sz w:val="16"/>
        </w:rPr>
        <w:t xml:space="preserve">Ставки вознаграждения утверждены Комитетом по управлению финансами и рисками </w:t>
      </w:r>
      <w:r w:rsidR="00036039">
        <w:rPr>
          <w:rFonts w:ascii="Times New Roman" w:eastAsia="Times New Roman" w:hAnsi="Times New Roman" w:cs="Times New Roman"/>
          <w:sz w:val="16"/>
        </w:rPr>
        <w:t>№1</w:t>
      </w:r>
      <w:r w:rsidRPr="001461C3">
        <w:rPr>
          <w:rFonts w:ascii="Times New Roman" w:eastAsia="Times New Roman" w:hAnsi="Times New Roman" w:cs="Times New Roman"/>
          <w:sz w:val="16"/>
        </w:rPr>
        <w:t xml:space="preserve"> (внеочередной) от </w:t>
      </w:r>
      <w:r w:rsidR="00036039">
        <w:rPr>
          <w:rFonts w:ascii="Times New Roman" w:eastAsia="Times New Roman" w:hAnsi="Times New Roman" w:cs="Times New Roman"/>
          <w:sz w:val="16"/>
        </w:rPr>
        <w:t>05.01.2024</w:t>
      </w:r>
      <w:r w:rsidRPr="001461C3">
        <w:rPr>
          <w:rFonts w:ascii="Times New Roman" w:eastAsia="Times New Roman" w:hAnsi="Times New Roman" w:cs="Times New Roman"/>
          <w:sz w:val="16"/>
        </w:rPr>
        <w:t xml:space="preserve"> года с вводом в действие с </w:t>
      </w:r>
      <w:r w:rsidR="00036039">
        <w:rPr>
          <w:rFonts w:ascii="Times New Roman" w:eastAsia="Times New Roman" w:hAnsi="Times New Roman" w:cs="Times New Roman"/>
          <w:sz w:val="16"/>
        </w:rPr>
        <w:t>15.01.2024</w:t>
      </w:r>
      <w:bookmarkStart w:id="0" w:name="_GoBack"/>
      <w:bookmarkEnd w:id="0"/>
      <w:r w:rsidRPr="001461C3">
        <w:rPr>
          <w:rFonts w:ascii="Times New Roman" w:eastAsia="Times New Roman" w:hAnsi="Times New Roman" w:cs="Times New Roman"/>
          <w:sz w:val="16"/>
        </w:rPr>
        <w:t xml:space="preserve"> года</w:t>
      </w:r>
    </w:p>
    <w:p w:rsidR="00673C6D" w:rsidRDefault="00673C6D">
      <w:pPr>
        <w:spacing w:after="3" w:line="234" w:lineRule="auto"/>
        <w:ind w:left="5" w:hanging="20"/>
      </w:pPr>
    </w:p>
    <w:p w:rsidR="009171D6" w:rsidRDefault="009171D6" w:rsidP="009171D6">
      <w:pPr>
        <w:spacing w:after="3" w:line="234" w:lineRule="auto"/>
        <w:ind w:left="5" w:hanging="20"/>
        <w:jc w:val="center"/>
      </w:pPr>
    </w:p>
    <w:p w:rsidR="008A5F25" w:rsidRDefault="008A5F25" w:rsidP="009171D6">
      <w:pPr>
        <w:spacing w:after="3" w:line="234" w:lineRule="auto"/>
        <w:ind w:left="5" w:hanging="20"/>
        <w:jc w:val="center"/>
      </w:pPr>
    </w:p>
    <w:p w:rsidR="009171D6" w:rsidRDefault="009171D6">
      <w:pPr>
        <w:spacing w:after="3" w:line="234" w:lineRule="auto"/>
        <w:ind w:left="5" w:hanging="20"/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7819"/>
      </w:tblGrid>
      <w:tr w:rsidR="009171D6" w:rsidRPr="009171D6" w:rsidTr="008A5F25">
        <w:trPr>
          <w:trHeight w:val="660"/>
        </w:trPr>
        <w:tc>
          <w:tcPr>
            <w:tcW w:w="1527" w:type="dxa"/>
            <w:shd w:val="clear" w:color="000000" w:fill="FFFFFF"/>
          </w:tcPr>
          <w:p w:rsidR="009171D6" w:rsidRPr="009171D6" w:rsidRDefault="009171D6" w:rsidP="009171D6">
            <w:pPr>
              <w:spacing w:before="240" w:line="240" w:lineRule="auto"/>
              <w:ind w:firstLineChars="100" w:firstLine="2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1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вклада </w:t>
            </w:r>
            <w:r w:rsidRPr="009171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19" w:type="dxa"/>
            <w:shd w:val="clear" w:color="000000" w:fill="FFFFFF"/>
          </w:tcPr>
          <w:p w:rsidR="009171D6" w:rsidRPr="009171D6" w:rsidRDefault="009171D6" w:rsidP="009171D6">
            <w:pPr>
              <w:spacing w:before="240" w:after="3" w:line="234" w:lineRule="auto"/>
              <w:ind w:left="5" w:hanging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1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Условия досрочного расторжения</w:t>
            </w:r>
          </w:p>
        </w:tc>
      </w:tr>
      <w:tr w:rsidR="009171D6" w:rsidRPr="009171D6" w:rsidTr="008A5F25">
        <w:trPr>
          <w:trHeight w:val="660"/>
        </w:trPr>
        <w:tc>
          <w:tcPr>
            <w:tcW w:w="1527" w:type="dxa"/>
            <w:shd w:val="clear" w:color="000000" w:fill="FFFFFF"/>
            <w:hideMark/>
          </w:tcPr>
          <w:p w:rsidR="009171D6" w:rsidRPr="009171D6" w:rsidRDefault="009171D6" w:rsidP="009171D6">
            <w:pPr>
              <w:spacing w:before="240" w:line="240" w:lineRule="auto"/>
              <w:ind w:firstLineChars="12" w:firstLine="2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71D6">
              <w:rPr>
                <w:rFonts w:ascii="Times New Roman" w:eastAsia="Times New Roman" w:hAnsi="Times New Roman" w:cs="Times New Roman"/>
                <w:sz w:val="20"/>
                <w:szCs w:val="20"/>
              </w:rPr>
              <w:t>«Гибкий»</w:t>
            </w:r>
          </w:p>
        </w:tc>
        <w:tc>
          <w:tcPr>
            <w:tcW w:w="7819" w:type="dxa"/>
            <w:shd w:val="clear" w:color="000000" w:fill="FFFFFF"/>
            <w:hideMark/>
          </w:tcPr>
          <w:p w:rsidR="009171D6" w:rsidRPr="009171D6" w:rsidRDefault="009171D6" w:rsidP="009171D6">
            <w:pPr>
              <w:spacing w:before="24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1D6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Вознаграждение выплачивается за фактический период размещения денег на вкладе, без пересчета ранее выплаченного вознаграждения по вкладу</w:t>
            </w:r>
          </w:p>
        </w:tc>
      </w:tr>
      <w:tr w:rsidR="009171D6" w:rsidRPr="009171D6" w:rsidTr="008A5F25">
        <w:trPr>
          <w:trHeight w:val="735"/>
        </w:trPr>
        <w:tc>
          <w:tcPr>
            <w:tcW w:w="1527" w:type="dxa"/>
            <w:shd w:val="clear" w:color="000000" w:fill="FFFFFF"/>
            <w:hideMark/>
          </w:tcPr>
          <w:p w:rsidR="009171D6" w:rsidRPr="009171D6" w:rsidRDefault="009171D6" w:rsidP="009171D6">
            <w:pPr>
              <w:spacing w:before="240" w:line="240" w:lineRule="auto"/>
              <w:ind w:firstLineChars="12" w:firstLine="2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71D6">
              <w:rPr>
                <w:rFonts w:ascii="Times New Roman" w:eastAsia="Times New Roman" w:hAnsi="Times New Roman" w:cs="Times New Roman"/>
                <w:sz w:val="20"/>
                <w:szCs w:val="20"/>
              </w:rPr>
              <w:t>«Надежный»</w:t>
            </w:r>
          </w:p>
        </w:tc>
        <w:tc>
          <w:tcPr>
            <w:tcW w:w="7819" w:type="dxa"/>
            <w:shd w:val="clear" w:color="000000" w:fill="FFFFFF"/>
            <w:hideMark/>
          </w:tcPr>
          <w:p w:rsidR="009171D6" w:rsidRPr="009171D6" w:rsidRDefault="009171D6" w:rsidP="009171D6">
            <w:pPr>
              <w:spacing w:before="24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1D6">
              <w:rPr>
                <w:rFonts w:ascii="Times New Roman" w:eastAsia="Times New Roman" w:hAnsi="Times New Roman" w:cs="Times New Roman"/>
                <w:sz w:val="20"/>
                <w:szCs w:val="20"/>
              </w:rPr>
              <w:t>По истечении 30 календарных дней с даты подачи заявления клиента, вознаграждение выплачивается по ставке вклада «До востребования», действующего на дату расторжения Договора</w:t>
            </w:r>
          </w:p>
        </w:tc>
      </w:tr>
    </w:tbl>
    <w:p w:rsidR="009171D6" w:rsidRDefault="009171D6">
      <w:pPr>
        <w:spacing w:after="3" w:line="234" w:lineRule="auto"/>
        <w:ind w:left="5" w:hanging="20"/>
      </w:pPr>
    </w:p>
    <w:sectPr w:rsidR="009171D6">
      <w:pgSz w:w="11906" w:h="16838"/>
      <w:pgMar w:top="1440" w:right="835" w:bottom="144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E1"/>
    <w:rsid w:val="00036039"/>
    <w:rsid w:val="000E51EB"/>
    <w:rsid w:val="001461C3"/>
    <w:rsid w:val="001B4B2A"/>
    <w:rsid w:val="00516583"/>
    <w:rsid w:val="00673C6D"/>
    <w:rsid w:val="008A5F25"/>
    <w:rsid w:val="008B72A2"/>
    <w:rsid w:val="009171D6"/>
    <w:rsid w:val="00982540"/>
    <w:rsid w:val="009A23C6"/>
    <w:rsid w:val="009F6408"/>
    <w:rsid w:val="00E1262D"/>
    <w:rsid w:val="00F31BE1"/>
    <w:rsid w:val="00FE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7164C-9332-4B9D-98D2-96B04A6B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1262D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8B7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BATTALOK</dc:creator>
  <cp:keywords/>
  <cp:lastModifiedBy>Тришкина Кристина Юрьевна</cp:lastModifiedBy>
  <cp:revision>2</cp:revision>
  <dcterms:created xsi:type="dcterms:W3CDTF">2024-01-11T09:21:00Z</dcterms:created>
  <dcterms:modified xsi:type="dcterms:W3CDTF">2024-01-11T09:21:00Z</dcterms:modified>
</cp:coreProperties>
</file>