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3C" w:rsidRPr="00F30BE7" w:rsidRDefault="00F30BE7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bookmarkStart w:id="0" w:name="_GoBack"/>
      <w:r w:rsidRPr="00F30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Комитеттің өкілеттіктері</w:t>
      </w:r>
    </w:p>
    <w:p w:rsidR="007A713C" w:rsidRPr="00F30BE7" w:rsidRDefault="007A713C" w:rsidP="007A713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kk-KZ" w:eastAsia="ru-RU"/>
        </w:rPr>
      </w:pPr>
    </w:p>
    <w:p w:rsidR="00D74758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активтер мен міндеттемелерді басқару</w:t>
      </w:r>
      <w:r w:rsidR="00D74758" w:rsidRPr="00F30BE7">
        <w:rPr>
          <w:color w:val="000000"/>
          <w:lang w:val="kk-KZ"/>
        </w:rPr>
        <w:t>;</w:t>
      </w:r>
    </w:p>
    <w:p w:rsidR="00D74758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ағымдағы пайыздық саясатты басқару</w:t>
      </w:r>
      <w:r w:rsidR="00D74758" w:rsidRPr="00F30BE7">
        <w:rPr>
          <w:color w:val="000000"/>
          <w:lang w:val="kk-KZ"/>
        </w:rPr>
        <w:t>;</w:t>
      </w:r>
    </w:p>
    <w:p w:rsidR="00D74758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бөлшек және бизнес-клиенттер үшін кредиттік және депозиттік өнімдер бойынша сыйақының стандартты мөлшерлемелерін белгілеу</w:t>
      </w:r>
      <w:r w:rsidR="00D74758" w:rsidRPr="00F30BE7">
        <w:rPr>
          <w:color w:val="000000"/>
          <w:lang w:val="kk-KZ"/>
        </w:rPr>
        <w:t>;</w:t>
      </w:r>
    </w:p>
    <w:p w:rsidR="00F30BE7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тәуекелдерді басқару (нарықтық, кредиттік, операциялық тәуекелдерді, пайыздық тәуекелді, өтімділік тәуекелін, қаржылық емес және өзге де қаржылық тәуекелдерді басқару);</w:t>
      </w:r>
    </w:p>
    <w:p w:rsidR="00D74758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пруденциалдық және өзге де реттеушілік нормативтерді, ішкі лимиттерді орындау</w:t>
      </w:r>
      <w:r w:rsidR="00D74758" w:rsidRPr="00F30BE7">
        <w:rPr>
          <w:color w:val="000000"/>
          <w:lang w:val="kk-KZ"/>
        </w:rPr>
        <w:t>;</w:t>
      </w:r>
    </w:p>
    <w:p w:rsidR="00D74758" w:rsidRPr="00F30BE7" w:rsidRDefault="00F30BE7" w:rsidP="00F30BE7">
      <w:pPr>
        <w:pStyle w:val="a7"/>
        <w:numPr>
          <w:ilvl w:val="1"/>
          <w:numId w:val="2"/>
        </w:numPr>
        <w:spacing w:after="120"/>
        <w:jc w:val="both"/>
        <w:rPr>
          <w:color w:val="000000"/>
          <w:lang w:val="kk-KZ"/>
        </w:rPr>
      </w:pPr>
      <w:r w:rsidRPr="00F30BE7">
        <w:rPr>
          <w:color w:val="000000"/>
          <w:lang w:val="kk-KZ"/>
        </w:rPr>
        <w:t>қаржы нарықтарын, бәсекелестік ортаны, ҚР банк секторын талдау және басқалар</w:t>
      </w:r>
      <w:r w:rsidR="00D74758" w:rsidRPr="00F30BE7">
        <w:rPr>
          <w:color w:val="000000"/>
          <w:lang w:val="kk-KZ"/>
        </w:rPr>
        <w:t>.</w:t>
      </w:r>
    </w:p>
    <w:bookmarkEnd w:id="0"/>
    <w:p w:rsidR="00141070" w:rsidRPr="00F30BE7" w:rsidRDefault="00141070">
      <w:pPr>
        <w:rPr>
          <w:lang w:val="kk-KZ"/>
        </w:rPr>
      </w:pPr>
    </w:p>
    <w:sectPr w:rsidR="00141070" w:rsidRPr="00F3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EA8"/>
    <w:multiLevelType w:val="hybridMultilevel"/>
    <w:tmpl w:val="5CD024EE"/>
    <w:lvl w:ilvl="0" w:tplc="EC9CB5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24BBD"/>
    <w:multiLevelType w:val="hybridMultilevel"/>
    <w:tmpl w:val="8556DEF2"/>
    <w:lvl w:ilvl="0" w:tplc="14AA20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30DD3E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2"/>
    <w:rsid w:val="00141070"/>
    <w:rsid w:val="00430D12"/>
    <w:rsid w:val="007A713C"/>
    <w:rsid w:val="00D74758"/>
    <w:rsid w:val="00F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9FF9-A5BF-4582-B8A2-C3CC06C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13C"/>
    <w:pPr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713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User</cp:lastModifiedBy>
  <cp:revision>5</cp:revision>
  <dcterms:created xsi:type="dcterms:W3CDTF">2020-07-24T09:48:00Z</dcterms:created>
  <dcterms:modified xsi:type="dcterms:W3CDTF">2023-08-31T05:22:00Z</dcterms:modified>
</cp:coreProperties>
</file>