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E5E5" w14:textId="77777777" w:rsidR="0067690C" w:rsidRPr="00D60584" w:rsidRDefault="0067690C" w:rsidP="0067690C">
      <w:pPr>
        <w:pStyle w:val="2"/>
        <w:jc w:val="left"/>
        <w:rPr>
          <w:rFonts w:ascii="Montserrat" w:hAnsi="Montserrat"/>
          <w:sz w:val="22"/>
          <w:szCs w:val="24"/>
          <w:lang w:val="kk-KZ"/>
        </w:rPr>
      </w:pPr>
      <w:r w:rsidRPr="00D60584">
        <w:rPr>
          <w:rFonts w:ascii="Montserrat" w:hAnsi="Montserrat"/>
          <w:sz w:val="22"/>
          <w:szCs w:val="24"/>
          <w:lang w:val="kk-KZ"/>
        </w:rPr>
        <w:t>Орнықты даму комитеті</w:t>
      </w:r>
    </w:p>
    <w:p w14:paraId="6ED54ADF" w14:textId="77777777" w:rsidR="0067690C" w:rsidRPr="00D60584" w:rsidRDefault="0067690C" w:rsidP="0067690C">
      <w:pPr>
        <w:rPr>
          <w:rFonts w:ascii="Montserrat" w:hAnsi="Montserrat"/>
          <w:sz w:val="20"/>
          <w:szCs w:val="20"/>
          <w:lang w:val="kk-KZ" w:eastAsia="ru-RU"/>
        </w:rPr>
      </w:pPr>
    </w:p>
    <w:p w14:paraId="07A62E33" w14:textId="77777777" w:rsidR="0067690C" w:rsidRPr="00D60584" w:rsidRDefault="0067690C" w:rsidP="0067690C">
      <w:pPr>
        <w:pStyle w:val="2"/>
        <w:rPr>
          <w:rFonts w:ascii="Montserrat" w:hAnsi="Montserrat"/>
          <w:sz w:val="22"/>
          <w:szCs w:val="24"/>
          <w:lang w:val="kk-KZ"/>
        </w:rPr>
      </w:pPr>
      <w:r w:rsidRPr="00D60584">
        <w:rPr>
          <w:rFonts w:ascii="Montserrat" w:hAnsi="Montserrat"/>
          <w:sz w:val="22"/>
          <w:szCs w:val="24"/>
          <w:lang w:val="kk-KZ"/>
        </w:rPr>
        <w:t xml:space="preserve"> Комитеттің функциялары</w:t>
      </w:r>
    </w:p>
    <w:p w14:paraId="0D46FE46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Директорлар кеңесіне Банктің орнықты дамуына байланысты шешімдер қабылдау мәселелері бойынша, оның ішінде келесі мәселелер бойынша ұсынымдар беру:</w:t>
      </w:r>
    </w:p>
    <w:p w14:paraId="77956931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Банк дамуының орнықты даму саласындағы стратегиялық бағыттары (мақсаттары);</w:t>
      </w:r>
    </w:p>
    <w:p w14:paraId="39F16B9F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Банктің орнықты дамуға қатысты стратегиялық мақсаттарын іске асыру процестерін бақылау критерийлері;</w:t>
      </w:r>
    </w:p>
    <w:p w14:paraId="7DBA7F1C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 xml:space="preserve">орнықты даму саласында қабылданған стратегия аясында іс-әрекет ету жоспарын жасау және Банк ішінде (Банктің корпоративтік басқару органдарының, Орнықты даму дирекциясының, функционалдық және бизнес-бірліктердің) тиісті функцияларды бөлу бойынша ұсыныстар жасау; </w:t>
      </w:r>
    </w:p>
    <w:p w14:paraId="76AB58E5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«жасыл» облигацияларды шығару немесе «жасыл» қарыздарды тарту бойынша жобаларды қоса алғанда, орнықты даму саласындағы жобалар мен бастамалар, сондай-ақ орнықты дамудың жетілу практикасын арттыру бойынша Банктің жол картасы шегінде өзге әлеуметтік-экологиялық бастамалар;</w:t>
      </w:r>
    </w:p>
    <w:p w14:paraId="267E2F9F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Банктің орнықты даму және олармен байланысты ESG KPIs саласында қойылған стратегиялық мақсаттарға қол жеткізудегі ілгерілеу, сондай-ақ Банктің бекітілген стратегиясына түзетулер енгізу;</w:t>
      </w:r>
    </w:p>
    <w:p w14:paraId="51F5A5ED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 xml:space="preserve">даму стратегиясын қарастыру және орнықты даму саласындағы, оның ішінде еншілес ұйымдардағы қызмет нәтижелерін бағалау және Банктің Директорлар кеңесі үшін тиісті ұсынымдарды қалыптастыру;  </w:t>
      </w:r>
    </w:p>
    <w:p w14:paraId="57EB53A8" w14:textId="77777777" w:rsidR="0067690C" w:rsidRPr="00D60584" w:rsidRDefault="0067690C" w:rsidP="0067690C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>ұлтына, нәсіліне, жынысына, жасына, жыныстық бағдарына және дініне қарамастан жоғары басшылық деңгейінде тең мүмкіндіктерді қамтамасыз ету;</w:t>
      </w:r>
    </w:p>
    <w:p w14:paraId="79F536B5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>Банктің орнықты дамуы саласындағы есепті қарастыру және Банктің Директорлар кеңесі үшін оны бекіту жөнінде ұсынымдар қалыптастыру;</w:t>
      </w:r>
    </w:p>
    <w:p w14:paraId="4F40C66C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>тиімділікті бағалау және орнықты даму саласындағы стратегияны іске асыруға байланысты ішкі процедуралар мен процестерге бақылауды жүзеге асыру;</w:t>
      </w:r>
    </w:p>
    <w:p w14:paraId="03090311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>Төмендегілерге бақылау жүргізу:</w:t>
      </w:r>
    </w:p>
    <w:p w14:paraId="0BC750E3" w14:textId="77777777" w:rsidR="0067690C" w:rsidRPr="00D60584" w:rsidRDefault="0067690C" w:rsidP="0067690C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color w:val="000000"/>
          <w:sz w:val="20"/>
          <w:szCs w:val="20"/>
          <w:lang w:val="kk-KZ"/>
        </w:rPr>
      </w:pPr>
      <w:r w:rsidRPr="00D60584">
        <w:rPr>
          <w:rFonts w:ascii="Montserrat" w:hAnsi="Montserrat"/>
          <w:color w:val="000000"/>
          <w:sz w:val="20"/>
          <w:szCs w:val="20"/>
          <w:lang w:val="kk-KZ"/>
        </w:rPr>
        <w:t>стратегия аясында, оның ішінде орнықты даму саласында әзірленген іс-әрекет ету жоспарын орындау;</w:t>
      </w:r>
    </w:p>
    <w:p w14:paraId="7876C04C" w14:textId="77777777" w:rsidR="0067690C" w:rsidRPr="00D60584" w:rsidRDefault="0067690C" w:rsidP="0067690C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орнықты даму және бекітілген ESG KPIs бойынша деректерді жинау үшін автоматтандыруды енгізу саласындағы стратегияны іске асыруға байланысты ақпараттық технологияларды басқару процестерін ұйымдастыру;</w:t>
      </w:r>
    </w:p>
    <w:p w14:paraId="7EBC1E67" w14:textId="77777777" w:rsidR="0067690C" w:rsidRPr="00D60584" w:rsidRDefault="0067690C" w:rsidP="0067690C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Банкке және оның бизнес-моделіне теріс әсер ету мүмкіндігіне тұрақты жүргізілетін бағалауды қоса есептегенде, жедел басқару мақсатында орнықты даму, ESG-көрсеткіштерді, оның ішінде ESG KPIs-ті жинау және талдау саласындағы есептілікті кезең-кезеңімен автоматтандыру аясында мониторинг жүргізу процестерін ұйымдастыруға қатысу;</w:t>
      </w:r>
    </w:p>
    <w:p w14:paraId="11E7619D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стратегиялық бағдарларды белгілеу және қойылған мақсаттарға қол жеткізу кезінде Басқармаға, Басқарма жанындағы уәкілетті алқалы органға және Банктің негізгі персоналына қолдау көрсету және ұсынымдар беру;</w:t>
      </w:r>
    </w:p>
    <w:p w14:paraId="749871D0" w14:textId="77777777" w:rsidR="0067690C" w:rsidRPr="00D60584" w:rsidRDefault="0067690C" w:rsidP="0067690C">
      <w:pPr>
        <w:pStyle w:val="a3"/>
        <w:numPr>
          <w:ilvl w:val="0"/>
          <w:numId w:val="3"/>
        </w:numPr>
        <w:ind w:left="567" w:hanging="283"/>
        <w:jc w:val="both"/>
        <w:rPr>
          <w:rFonts w:ascii="Montserrat" w:hAnsi="Montserrat"/>
          <w:sz w:val="20"/>
          <w:szCs w:val="20"/>
          <w:lang w:val="kk-KZ"/>
        </w:rPr>
      </w:pPr>
      <w:r w:rsidRPr="00D60584">
        <w:rPr>
          <w:rFonts w:ascii="Montserrat" w:hAnsi="Montserrat"/>
          <w:sz w:val="20"/>
          <w:szCs w:val="20"/>
          <w:lang w:val="kk-KZ"/>
        </w:rPr>
        <w:t>орнықты даму бойынша жоғары деңгейдегі ІНҚ-ны мақұлдау.</w:t>
      </w:r>
    </w:p>
    <w:p w14:paraId="346B62C0" w14:textId="77777777" w:rsidR="00C17EC2" w:rsidRPr="0067690C" w:rsidRDefault="00C17EC2">
      <w:pPr>
        <w:rPr>
          <w:lang w:val="kk-KZ"/>
        </w:rPr>
      </w:pPr>
    </w:p>
    <w:sectPr w:rsidR="00C17EC2" w:rsidRPr="0067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CAB"/>
    <w:multiLevelType w:val="hybridMultilevel"/>
    <w:tmpl w:val="3B8A9DA4"/>
    <w:lvl w:ilvl="0" w:tplc="140EB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4B21C1"/>
    <w:multiLevelType w:val="hybridMultilevel"/>
    <w:tmpl w:val="030C48C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E464C84"/>
    <w:multiLevelType w:val="hybridMultilevel"/>
    <w:tmpl w:val="70BAF00A"/>
    <w:lvl w:ilvl="0" w:tplc="140E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3770">
    <w:abstractNumId w:val="0"/>
  </w:num>
  <w:num w:numId="2" w16cid:durableId="1692141456">
    <w:abstractNumId w:val="2"/>
  </w:num>
  <w:num w:numId="3" w16cid:durableId="2102557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88"/>
    <w:rsid w:val="0067690C"/>
    <w:rsid w:val="00B83588"/>
    <w:rsid w:val="00C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6464-9F03-44BD-8B2B-A26F661C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7690C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90C"/>
    <w:rPr>
      <w:rFonts w:ascii="Times New Roman" w:eastAsia="Times New Roman" w:hAnsi="Times New Roman" w:cs="Times New Roman"/>
      <w:b/>
      <w:kern w:val="0"/>
      <w:sz w:val="24"/>
      <w:szCs w:val="26"/>
      <w:lang w:eastAsia="ru-RU"/>
      <w14:ligatures w14:val="none"/>
    </w:rPr>
  </w:style>
  <w:style w:type="paragraph" w:styleId="a3">
    <w:name w:val="List Paragraph"/>
    <w:aliases w:val="List Paragraph (numbered (a)),Use Case List Paragraph,NUMBERED PARAGRAPH,List Paragraph 1,маркированный,Citation List,Elenco Normale,Абзац с отступом,strich,2nd Tier Header,Абзац списка2,References,Bullets,List_Paragraph"/>
    <w:basedOn w:val="a"/>
    <w:link w:val="a4"/>
    <w:uiPriority w:val="34"/>
    <w:qFormat/>
    <w:rsid w:val="0067690C"/>
    <w:pPr>
      <w:ind w:left="720"/>
      <w:contextualSpacing/>
    </w:p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Elenco Normale Знак,Абзац с отступом Знак,strich Знак,2nd Tier Header Знак,Bullets Знак"/>
    <w:link w:val="a3"/>
    <w:uiPriority w:val="34"/>
    <w:qFormat/>
    <w:locked/>
    <w:rsid w:val="0067690C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>BCC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Сақбаев Даулет Жанкелдіұлы</dc:creator>
  <cp:keywords/>
  <dc:description/>
  <cp:lastModifiedBy>Сақбаев Даулет Жанкелдіұлы</cp:lastModifiedBy>
  <cp:revision>2</cp:revision>
  <dcterms:created xsi:type="dcterms:W3CDTF">2024-01-17T11:14:00Z</dcterms:created>
  <dcterms:modified xsi:type="dcterms:W3CDTF">2024-01-17T11:14:00Z</dcterms:modified>
</cp:coreProperties>
</file>