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A20B" w14:textId="77777777" w:rsidR="000B2AA1" w:rsidRDefault="000B2AA1" w:rsidP="000B2AA1">
      <w:pPr>
        <w:pStyle w:val="af5"/>
        <w:jc w:val="right"/>
        <w:rPr>
          <w:rFonts w:ascii="Times New Roman" w:hAnsi="Times New Roman" w:cs="Times New Roman"/>
          <w:szCs w:val="24"/>
          <w:lang w:val="ru-RU"/>
        </w:rPr>
      </w:pPr>
    </w:p>
    <w:p w14:paraId="04A35066" w14:textId="77777777" w:rsidR="006828A4" w:rsidRPr="000B2AA1" w:rsidRDefault="006828A4" w:rsidP="000B2AA1">
      <w:pPr>
        <w:pStyle w:val="af5"/>
        <w:jc w:val="right"/>
        <w:rPr>
          <w:rFonts w:ascii="Times New Roman" w:hAnsi="Times New Roman" w:cs="Times New Roman"/>
          <w:szCs w:val="24"/>
          <w:lang w:val="ru-RU"/>
        </w:rPr>
      </w:pPr>
    </w:p>
    <w:tbl>
      <w:tblPr>
        <w:tblW w:w="0" w:type="auto"/>
        <w:tblCellSpacing w:w="0" w:type="dxa"/>
        <w:tblInd w:w="-142" w:type="dxa"/>
        <w:tblLook w:val="04A0" w:firstRow="1" w:lastRow="0" w:firstColumn="1" w:lastColumn="0" w:noHBand="0" w:noVBand="1"/>
      </w:tblPr>
      <w:tblGrid>
        <w:gridCol w:w="5103"/>
        <w:gridCol w:w="5244"/>
      </w:tblGrid>
      <w:tr w:rsidR="000B2AA1" w:rsidRPr="00A75CB2" w14:paraId="1BE4633A" w14:textId="77777777" w:rsidTr="000B2AA1">
        <w:trPr>
          <w:trHeight w:val="3868"/>
          <w:tblCellSpacing w:w="0" w:type="dxa"/>
        </w:trPr>
        <w:tc>
          <w:tcPr>
            <w:tcW w:w="5104" w:type="dxa"/>
            <w:tcBorders>
              <w:top w:val="nil"/>
              <w:left w:val="nil"/>
              <w:bottom w:val="nil"/>
              <w:right w:val="nil"/>
            </w:tcBorders>
            <w:hideMark/>
          </w:tcPr>
          <w:p w14:paraId="085008B6" w14:textId="77777777" w:rsidR="000B2AA1" w:rsidRPr="000E121B" w:rsidRDefault="000B2AA1" w:rsidP="000B2AA1">
            <w:pPr>
              <w:pStyle w:val="af5"/>
              <w:rPr>
                <w:rFonts w:ascii="Times New Roman" w:hAnsi="Times New Roman" w:cs="Times New Roman"/>
                <w:szCs w:val="24"/>
                <w:lang w:val="kk-KZ"/>
              </w:rPr>
            </w:pPr>
          </w:p>
        </w:tc>
        <w:tc>
          <w:tcPr>
            <w:tcW w:w="5244" w:type="dxa"/>
            <w:tcBorders>
              <w:top w:val="nil"/>
              <w:left w:val="nil"/>
              <w:bottom w:val="nil"/>
              <w:right w:val="nil"/>
            </w:tcBorders>
            <w:hideMark/>
          </w:tcPr>
          <w:p w14:paraId="016AF5AE" w14:textId="77777777" w:rsidR="000B2AA1" w:rsidRPr="00363513" w:rsidRDefault="00363513" w:rsidP="000B2AA1">
            <w:pPr>
              <w:pStyle w:val="af5"/>
              <w:jc w:val="right"/>
              <w:rPr>
                <w:rFonts w:ascii="Times New Roman" w:hAnsi="Times New Roman" w:cs="Times New Roman"/>
                <w:szCs w:val="24"/>
              </w:rPr>
            </w:pPr>
            <w:r>
              <w:rPr>
                <w:rFonts w:ascii="Times New Roman" w:hAnsi="Times New Roman" w:cs="Times New Roman"/>
                <w:szCs w:val="24"/>
              </w:rPr>
              <w:t>Approved by</w:t>
            </w:r>
          </w:p>
          <w:p w14:paraId="7F5FB33A" w14:textId="77777777" w:rsidR="000B2AA1" w:rsidRPr="00363513" w:rsidRDefault="00363513" w:rsidP="000B2AA1">
            <w:pPr>
              <w:pStyle w:val="af5"/>
              <w:jc w:val="right"/>
              <w:rPr>
                <w:rFonts w:ascii="Times New Roman" w:hAnsi="Times New Roman" w:cs="Times New Roman"/>
                <w:szCs w:val="24"/>
              </w:rPr>
            </w:pPr>
            <w:r>
              <w:rPr>
                <w:rFonts w:ascii="Times New Roman" w:hAnsi="Times New Roman" w:cs="Times New Roman"/>
                <w:szCs w:val="24"/>
              </w:rPr>
              <w:t>Minutes of the Management Board</w:t>
            </w:r>
          </w:p>
          <w:p w14:paraId="156BBFEB" w14:textId="77777777" w:rsidR="000B2AA1" w:rsidRPr="00363513" w:rsidRDefault="00363513" w:rsidP="006828A4">
            <w:pPr>
              <w:jc w:val="right"/>
              <w:rPr>
                <w:rFonts w:eastAsia="Calibri" w:cs="Times New Roman"/>
                <w:szCs w:val="24"/>
                <w:lang w:val="en-US" w:eastAsia="zh-CN"/>
              </w:rPr>
            </w:pPr>
            <w:r>
              <w:rPr>
                <w:rFonts w:eastAsia="Calibri" w:cs="Times New Roman"/>
                <w:szCs w:val="24"/>
                <w:lang w:val="en-US" w:eastAsia="zh-CN"/>
              </w:rPr>
              <w:t xml:space="preserve">No. </w:t>
            </w:r>
            <w:r w:rsidR="006828A4" w:rsidRPr="00363513">
              <w:rPr>
                <w:rFonts w:eastAsia="Calibri" w:cs="Times New Roman"/>
                <w:szCs w:val="24"/>
                <w:lang w:val="en-US" w:eastAsia="zh-CN"/>
              </w:rPr>
              <w:t xml:space="preserve">0327/15 </w:t>
            </w:r>
            <w:r>
              <w:rPr>
                <w:rFonts w:eastAsia="Calibri" w:cs="Times New Roman"/>
                <w:szCs w:val="24"/>
                <w:lang w:val="en-US" w:eastAsia="zh-CN"/>
              </w:rPr>
              <w:t>dated</w:t>
            </w:r>
            <w:r w:rsidR="006828A4" w:rsidRPr="00363513">
              <w:rPr>
                <w:rFonts w:eastAsia="Calibri" w:cs="Times New Roman"/>
                <w:szCs w:val="24"/>
                <w:lang w:val="en-US" w:eastAsia="zh-CN"/>
              </w:rPr>
              <w:t xml:space="preserve"> 27</w:t>
            </w:r>
            <w:r>
              <w:rPr>
                <w:rFonts w:eastAsia="Calibri" w:cs="Times New Roman"/>
                <w:szCs w:val="24"/>
                <w:lang w:val="en-US" w:eastAsia="zh-CN"/>
              </w:rPr>
              <w:t xml:space="preserve"> March </w:t>
            </w:r>
            <w:r w:rsidR="006828A4" w:rsidRPr="00363513">
              <w:rPr>
                <w:rFonts w:eastAsia="Calibri" w:cs="Times New Roman"/>
                <w:szCs w:val="24"/>
                <w:lang w:val="en-US" w:eastAsia="zh-CN"/>
              </w:rPr>
              <w:t>2025</w:t>
            </w:r>
            <w:r w:rsidR="000B2AA1" w:rsidRPr="00363513">
              <w:rPr>
                <w:rFonts w:cs="Times New Roman"/>
                <w:szCs w:val="24"/>
                <w:lang w:val="en-US"/>
              </w:rPr>
              <w:t> </w:t>
            </w:r>
          </w:p>
          <w:p w14:paraId="61AE6586" w14:textId="77777777" w:rsidR="00363513" w:rsidRPr="00363513" w:rsidRDefault="00363513" w:rsidP="00363513">
            <w:pPr>
              <w:pStyle w:val="af5"/>
              <w:jc w:val="right"/>
              <w:rPr>
                <w:rFonts w:ascii="Times New Roman" w:hAnsi="Times New Roman" w:cs="Times New Roman"/>
                <w:szCs w:val="24"/>
              </w:rPr>
            </w:pPr>
            <w:r>
              <w:rPr>
                <w:rFonts w:ascii="Times New Roman" w:hAnsi="Times New Roman" w:cs="Times New Roman"/>
                <w:szCs w:val="24"/>
              </w:rPr>
              <w:t>Approved by</w:t>
            </w:r>
          </w:p>
          <w:p w14:paraId="7A79A6A2" w14:textId="77777777" w:rsidR="000B2AA1" w:rsidRPr="00363513" w:rsidRDefault="00363513" w:rsidP="000B2AA1">
            <w:pPr>
              <w:pStyle w:val="af5"/>
              <w:jc w:val="right"/>
              <w:rPr>
                <w:rFonts w:ascii="Times New Roman" w:hAnsi="Times New Roman" w:cs="Times New Roman"/>
                <w:szCs w:val="24"/>
              </w:rPr>
            </w:pPr>
            <w:r>
              <w:rPr>
                <w:rFonts w:ascii="Times New Roman" w:hAnsi="Times New Roman" w:cs="Times New Roman"/>
                <w:szCs w:val="24"/>
              </w:rPr>
              <w:t>Decision of the Sustainable Development Committee</w:t>
            </w:r>
            <w:r w:rsidR="000B2AA1" w:rsidRPr="00363513">
              <w:rPr>
                <w:rFonts w:ascii="Times New Roman" w:hAnsi="Times New Roman" w:cs="Times New Roman"/>
                <w:szCs w:val="24"/>
              </w:rPr>
              <w:t xml:space="preserve"> </w:t>
            </w:r>
          </w:p>
          <w:p w14:paraId="27FA96B4" w14:textId="77777777" w:rsidR="000B2AA1" w:rsidRPr="00363513" w:rsidRDefault="00363513" w:rsidP="006828A4">
            <w:pPr>
              <w:jc w:val="right"/>
              <w:rPr>
                <w:rFonts w:eastAsia="Calibri" w:cs="Times New Roman"/>
                <w:szCs w:val="24"/>
                <w:lang w:val="en-US" w:eastAsia="zh-CN"/>
              </w:rPr>
            </w:pPr>
            <w:r>
              <w:rPr>
                <w:rFonts w:eastAsia="Calibri" w:cs="Times New Roman"/>
                <w:szCs w:val="24"/>
                <w:lang w:val="en-US" w:eastAsia="zh-CN"/>
              </w:rPr>
              <w:t xml:space="preserve">No. </w:t>
            </w:r>
            <w:r w:rsidR="006828A4" w:rsidRPr="00363513">
              <w:rPr>
                <w:rFonts w:eastAsia="Calibri" w:cs="Times New Roman"/>
                <w:szCs w:val="24"/>
                <w:lang w:val="en-US" w:eastAsia="zh-CN"/>
              </w:rPr>
              <w:t xml:space="preserve">6 </w:t>
            </w:r>
            <w:r>
              <w:rPr>
                <w:rFonts w:eastAsia="Calibri" w:cs="Times New Roman"/>
                <w:szCs w:val="24"/>
                <w:lang w:val="en-US" w:eastAsia="zh-CN"/>
              </w:rPr>
              <w:t>dated</w:t>
            </w:r>
            <w:r w:rsidR="006828A4" w:rsidRPr="00363513">
              <w:rPr>
                <w:rFonts w:eastAsia="Calibri" w:cs="Times New Roman"/>
                <w:szCs w:val="24"/>
                <w:lang w:val="en-US" w:eastAsia="zh-CN"/>
              </w:rPr>
              <w:t xml:space="preserve"> 08</w:t>
            </w:r>
            <w:r>
              <w:rPr>
                <w:rFonts w:eastAsia="Calibri" w:cs="Times New Roman"/>
                <w:szCs w:val="24"/>
                <w:lang w:val="en-US" w:eastAsia="zh-CN"/>
              </w:rPr>
              <w:t xml:space="preserve"> April </w:t>
            </w:r>
            <w:r w:rsidR="006828A4" w:rsidRPr="00363513">
              <w:rPr>
                <w:rFonts w:eastAsia="Calibri" w:cs="Times New Roman"/>
                <w:szCs w:val="24"/>
                <w:lang w:val="en-US" w:eastAsia="zh-CN"/>
              </w:rPr>
              <w:t>2025</w:t>
            </w:r>
            <w:r w:rsidR="000B2AA1" w:rsidRPr="00363513">
              <w:rPr>
                <w:rFonts w:cs="Times New Roman"/>
                <w:szCs w:val="24"/>
                <w:lang w:val="en-US"/>
              </w:rPr>
              <w:t> </w:t>
            </w:r>
          </w:p>
          <w:p w14:paraId="537448FD" w14:textId="77777777" w:rsidR="000B2AA1" w:rsidRPr="00363513" w:rsidRDefault="00363513" w:rsidP="000B2AA1">
            <w:pPr>
              <w:pStyle w:val="af5"/>
              <w:jc w:val="right"/>
              <w:rPr>
                <w:rFonts w:ascii="Times New Roman" w:hAnsi="Times New Roman" w:cs="Times New Roman"/>
                <w:szCs w:val="24"/>
              </w:rPr>
            </w:pPr>
            <w:r>
              <w:rPr>
                <w:rFonts w:ascii="Times New Roman" w:hAnsi="Times New Roman" w:cs="Times New Roman"/>
                <w:szCs w:val="24"/>
              </w:rPr>
              <w:t xml:space="preserve">Authorized by </w:t>
            </w:r>
          </w:p>
          <w:p w14:paraId="2F20E455" w14:textId="77777777" w:rsidR="000B2AA1" w:rsidRPr="00363513" w:rsidRDefault="00363513" w:rsidP="00363513">
            <w:pPr>
              <w:pStyle w:val="af5"/>
              <w:jc w:val="right"/>
              <w:rPr>
                <w:rFonts w:ascii="Times New Roman" w:hAnsi="Times New Roman" w:cs="Times New Roman"/>
                <w:szCs w:val="24"/>
              </w:rPr>
            </w:pPr>
            <w:r>
              <w:rPr>
                <w:rFonts w:ascii="Times New Roman" w:hAnsi="Times New Roman" w:cs="Times New Roman"/>
                <w:szCs w:val="24"/>
              </w:rPr>
              <w:t xml:space="preserve">BoD Resolution No. </w:t>
            </w:r>
            <w:r w:rsidR="006828A4" w:rsidRPr="00363513">
              <w:rPr>
                <w:rFonts w:ascii="Times New Roman" w:hAnsi="Times New Roman" w:cs="Times New Roman"/>
                <w:szCs w:val="24"/>
              </w:rPr>
              <w:t xml:space="preserve">0514/2 </w:t>
            </w:r>
            <w:r>
              <w:rPr>
                <w:rFonts w:ascii="Times New Roman" w:hAnsi="Times New Roman" w:cs="Times New Roman"/>
                <w:szCs w:val="24"/>
              </w:rPr>
              <w:t>dated</w:t>
            </w:r>
            <w:r w:rsidR="000B2AA1" w:rsidRPr="00363513">
              <w:rPr>
                <w:rFonts w:ascii="Times New Roman" w:hAnsi="Times New Roman" w:cs="Times New Roman"/>
                <w:szCs w:val="24"/>
              </w:rPr>
              <w:t xml:space="preserve"> </w:t>
            </w:r>
            <w:r w:rsidR="006828A4" w:rsidRPr="00363513">
              <w:rPr>
                <w:rFonts w:ascii="Times New Roman" w:hAnsi="Times New Roman" w:cs="Times New Roman"/>
                <w:szCs w:val="24"/>
              </w:rPr>
              <w:t>14</w:t>
            </w:r>
            <w:r>
              <w:rPr>
                <w:rFonts w:ascii="Times New Roman" w:hAnsi="Times New Roman" w:cs="Times New Roman"/>
                <w:szCs w:val="24"/>
              </w:rPr>
              <w:t xml:space="preserve"> May </w:t>
            </w:r>
            <w:r w:rsidR="000B2AA1" w:rsidRPr="00363513">
              <w:rPr>
                <w:rFonts w:ascii="Times New Roman" w:hAnsi="Times New Roman" w:cs="Times New Roman"/>
                <w:szCs w:val="24"/>
              </w:rPr>
              <w:t>2025</w:t>
            </w:r>
          </w:p>
        </w:tc>
      </w:tr>
    </w:tbl>
    <w:p w14:paraId="23BF7373" w14:textId="77777777" w:rsidR="00893CE4" w:rsidRPr="00363513" w:rsidRDefault="00893CE4" w:rsidP="00893CE4">
      <w:pPr>
        <w:pStyle w:val="af5"/>
        <w:jc w:val="both"/>
        <w:rPr>
          <w:rFonts w:ascii="Times New Roman" w:hAnsi="Times New Roman" w:cs="Times New Roman"/>
          <w:sz w:val="24"/>
          <w:szCs w:val="24"/>
        </w:rPr>
      </w:pPr>
    </w:p>
    <w:p w14:paraId="02BCD248" w14:textId="77777777" w:rsidR="009A3B7C" w:rsidRDefault="009A3B7C" w:rsidP="00172AB8">
      <w:pPr>
        <w:pStyle w:val="af5"/>
        <w:jc w:val="center"/>
        <w:rPr>
          <w:rFonts w:ascii="Times New Roman" w:hAnsi="Times New Roman" w:cs="Times New Roman"/>
          <w:sz w:val="24"/>
          <w:szCs w:val="24"/>
          <w:lang w:val="kk-KZ"/>
        </w:rPr>
      </w:pPr>
    </w:p>
    <w:p w14:paraId="20DBBCEB" w14:textId="77777777" w:rsidR="00F2456E" w:rsidRPr="00363513" w:rsidRDefault="00363513" w:rsidP="00F2456E">
      <w:pPr>
        <w:tabs>
          <w:tab w:val="left" w:pos="0"/>
        </w:tabs>
        <w:spacing w:after="0" w:line="240" w:lineRule="auto"/>
        <w:jc w:val="center"/>
        <w:rPr>
          <w:rFonts w:eastAsia="Calibri" w:cs="Times New Roman"/>
          <w:b/>
          <w:szCs w:val="24"/>
          <w:lang w:val="kk-KZ" w:eastAsia="zh-CN"/>
        </w:rPr>
      </w:pPr>
      <w:bookmarkStart w:id="0" w:name="RUS"/>
      <w:r w:rsidRPr="00363513">
        <w:rPr>
          <w:rFonts w:eastAsia="Calibri" w:cs="Times New Roman"/>
          <w:b/>
          <w:szCs w:val="24"/>
          <w:lang w:val="kk-KZ" w:eastAsia="zh-CN"/>
        </w:rPr>
        <w:t>JSC Bank CenterCredit Environmental and Social Risk Management Policy</w:t>
      </w:r>
      <w:bookmarkEnd w:id="0"/>
    </w:p>
    <w:p w14:paraId="28EB5605" w14:textId="77777777" w:rsidR="00F2456E" w:rsidRPr="00363513" w:rsidRDefault="00F2456E" w:rsidP="00F2456E">
      <w:pPr>
        <w:tabs>
          <w:tab w:val="left" w:pos="0"/>
        </w:tabs>
        <w:spacing w:after="0" w:line="240" w:lineRule="auto"/>
        <w:jc w:val="center"/>
        <w:rPr>
          <w:rFonts w:eastAsia="Calibri" w:cs="Times New Roman"/>
          <w:b/>
          <w:szCs w:val="24"/>
          <w:lang w:val="kk-KZ" w:eastAsia="zh-CN"/>
        </w:rPr>
      </w:pPr>
    </w:p>
    <w:p w14:paraId="674FD5B5" w14:textId="77777777" w:rsidR="00F2456E" w:rsidRPr="00363513" w:rsidRDefault="00F2456E" w:rsidP="00F2456E">
      <w:pPr>
        <w:tabs>
          <w:tab w:val="left" w:pos="0"/>
        </w:tabs>
        <w:spacing w:after="0" w:line="240" w:lineRule="auto"/>
        <w:jc w:val="center"/>
        <w:rPr>
          <w:rFonts w:eastAsia="Calibri" w:cs="Times New Roman"/>
          <w:b/>
          <w:szCs w:val="24"/>
          <w:lang w:val="kk-KZ" w:eastAsia="zh-CN"/>
        </w:rPr>
      </w:pPr>
    </w:p>
    <w:p w14:paraId="7CC65D10" w14:textId="77777777" w:rsidR="00F2456E" w:rsidRPr="00363513" w:rsidRDefault="00F2456E" w:rsidP="00F2456E">
      <w:pPr>
        <w:tabs>
          <w:tab w:val="left" w:pos="0"/>
        </w:tabs>
        <w:spacing w:after="0" w:line="240" w:lineRule="auto"/>
        <w:jc w:val="center"/>
        <w:rPr>
          <w:rFonts w:eastAsia="Calibri" w:cs="Times New Roman"/>
          <w:b/>
          <w:szCs w:val="24"/>
          <w:lang w:val="kk-KZ" w:eastAsia="zh-CN"/>
        </w:rPr>
      </w:pPr>
    </w:p>
    <w:p w14:paraId="60ED269F" w14:textId="77777777" w:rsidR="00F2456E" w:rsidRPr="001F10EC" w:rsidRDefault="00363513" w:rsidP="00F2456E">
      <w:pPr>
        <w:tabs>
          <w:tab w:val="left" w:pos="0"/>
        </w:tabs>
        <w:spacing w:after="0" w:line="240" w:lineRule="auto"/>
        <w:rPr>
          <w:rFonts w:eastAsia="Calibri" w:cs="Times New Roman"/>
          <w:bCs/>
          <w:szCs w:val="24"/>
          <w:lang w:eastAsia="zh-CN"/>
        </w:rPr>
      </w:pPr>
      <w:r>
        <w:rPr>
          <w:rFonts w:eastAsia="Calibri" w:cs="Times New Roman"/>
          <w:bCs/>
          <w:szCs w:val="24"/>
          <w:lang w:val="en-US" w:eastAsia="zh-CN"/>
        </w:rPr>
        <w:t>Content</w:t>
      </w:r>
    </w:p>
    <w:p w14:paraId="56A8849F" w14:textId="0D5D7F77" w:rsidR="00A75CB2" w:rsidRDefault="00103799">
      <w:pPr>
        <w:pStyle w:val="13"/>
        <w:tabs>
          <w:tab w:val="right" w:leader="dot" w:pos="10195"/>
        </w:tabs>
        <w:rPr>
          <w:rFonts w:asciiTheme="minorHAnsi" w:eastAsiaTheme="minorEastAsia" w:hAnsiTheme="minorHAnsi"/>
          <w:noProof/>
          <w:kern w:val="2"/>
          <w:szCs w:val="24"/>
          <w:lang w:val="ru-KZ" w:eastAsia="ru-KZ"/>
          <w14:ligatures w14:val="standardContextual"/>
        </w:rPr>
      </w:pPr>
      <w:r>
        <w:rPr>
          <w:rFonts w:eastAsia="Calibri" w:cs="Times New Roman"/>
          <w:b/>
          <w:szCs w:val="24"/>
          <w:lang w:eastAsia="zh-CN"/>
        </w:rPr>
        <w:fldChar w:fldCharType="begin"/>
      </w:r>
      <w:r w:rsidR="00F2456E">
        <w:rPr>
          <w:rFonts w:eastAsia="Calibri" w:cs="Times New Roman"/>
          <w:b/>
          <w:szCs w:val="24"/>
          <w:lang w:eastAsia="zh-CN"/>
        </w:rPr>
        <w:instrText xml:space="preserve"> TOC \o "1-3" \h \z \u </w:instrText>
      </w:r>
      <w:r w:rsidR="00F2456E">
        <w:rPr>
          <w:rFonts w:eastAsia="Calibri" w:cs="Times New Roman"/>
          <w:b/>
          <w:szCs w:val="24"/>
          <w:lang w:val="en-US" w:eastAsia="zh-CN"/>
        </w:rPr>
        <w:instrText>\b annex</w:instrText>
      </w:r>
      <w:r>
        <w:rPr>
          <w:rFonts w:eastAsia="Calibri" w:cs="Times New Roman"/>
          <w:b/>
          <w:szCs w:val="24"/>
          <w:lang w:eastAsia="zh-CN"/>
        </w:rPr>
        <w:fldChar w:fldCharType="separate"/>
      </w:r>
      <w:hyperlink w:anchor="_Toc199501405" w:history="1">
        <w:r w:rsidR="00A75CB2" w:rsidRPr="00DC2D2A">
          <w:rPr>
            <w:rStyle w:val="af0"/>
            <w:noProof/>
            <w:lang w:val="en-US"/>
          </w:rPr>
          <w:t>Chapter</w:t>
        </w:r>
        <w:r w:rsidR="00A75CB2" w:rsidRPr="00DC2D2A">
          <w:rPr>
            <w:rStyle w:val="af0"/>
            <w:noProof/>
            <w:lang w:val="kk-KZ"/>
          </w:rPr>
          <w:t xml:space="preserve"> 1. </w:t>
        </w:r>
        <w:r w:rsidR="00A75CB2" w:rsidRPr="00DC2D2A">
          <w:rPr>
            <w:rStyle w:val="af0"/>
            <w:noProof/>
            <w:lang w:val="en-US"/>
          </w:rPr>
          <w:t>General</w:t>
        </w:r>
        <w:r w:rsidR="00A75CB2">
          <w:rPr>
            <w:noProof/>
            <w:webHidden/>
          </w:rPr>
          <w:tab/>
        </w:r>
        <w:r w:rsidR="00A75CB2">
          <w:rPr>
            <w:noProof/>
            <w:webHidden/>
          </w:rPr>
          <w:fldChar w:fldCharType="begin"/>
        </w:r>
        <w:r w:rsidR="00A75CB2">
          <w:rPr>
            <w:noProof/>
            <w:webHidden/>
          </w:rPr>
          <w:instrText xml:space="preserve"> PAGEREF _Toc199501405 \h </w:instrText>
        </w:r>
        <w:r w:rsidR="00A75CB2">
          <w:rPr>
            <w:noProof/>
            <w:webHidden/>
          </w:rPr>
        </w:r>
        <w:r w:rsidR="00A75CB2">
          <w:rPr>
            <w:noProof/>
            <w:webHidden/>
          </w:rPr>
          <w:fldChar w:fldCharType="separate"/>
        </w:r>
        <w:r w:rsidR="00A75CB2">
          <w:rPr>
            <w:noProof/>
            <w:webHidden/>
          </w:rPr>
          <w:t>1</w:t>
        </w:r>
        <w:r w:rsidR="00A75CB2">
          <w:rPr>
            <w:noProof/>
            <w:webHidden/>
          </w:rPr>
          <w:fldChar w:fldCharType="end"/>
        </w:r>
      </w:hyperlink>
    </w:p>
    <w:p w14:paraId="19F4A7E6" w14:textId="4E96802F"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06" w:history="1">
        <w:r w:rsidRPr="00DC2D2A">
          <w:rPr>
            <w:rStyle w:val="af0"/>
            <w:noProof/>
            <w:lang w:val="en-US"/>
          </w:rPr>
          <w:t>Chapter</w:t>
        </w:r>
        <w:r w:rsidRPr="00DC2D2A">
          <w:rPr>
            <w:rStyle w:val="af0"/>
            <w:noProof/>
            <w:lang w:val="kk-KZ"/>
          </w:rPr>
          <w:t xml:space="preserve"> 2. </w:t>
        </w:r>
        <w:r w:rsidRPr="00DC2D2A">
          <w:rPr>
            <w:rStyle w:val="af0"/>
            <w:noProof/>
            <w:lang w:val="en-US"/>
          </w:rPr>
          <w:t>Key Sustainable Finance Goals and Objectives</w:t>
        </w:r>
        <w:r>
          <w:rPr>
            <w:noProof/>
            <w:webHidden/>
          </w:rPr>
          <w:tab/>
        </w:r>
        <w:r>
          <w:rPr>
            <w:noProof/>
            <w:webHidden/>
          </w:rPr>
          <w:fldChar w:fldCharType="begin"/>
        </w:r>
        <w:r>
          <w:rPr>
            <w:noProof/>
            <w:webHidden/>
          </w:rPr>
          <w:instrText xml:space="preserve"> PAGEREF _Toc199501406 \h </w:instrText>
        </w:r>
        <w:r>
          <w:rPr>
            <w:noProof/>
            <w:webHidden/>
          </w:rPr>
        </w:r>
        <w:r>
          <w:rPr>
            <w:noProof/>
            <w:webHidden/>
          </w:rPr>
          <w:fldChar w:fldCharType="separate"/>
        </w:r>
        <w:r>
          <w:rPr>
            <w:noProof/>
            <w:webHidden/>
          </w:rPr>
          <w:t>2</w:t>
        </w:r>
        <w:r>
          <w:rPr>
            <w:noProof/>
            <w:webHidden/>
          </w:rPr>
          <w:fldChar w:fldCharType="end"/>
        </w:r>
      </w:hyperlink>
    </w:p>
    <w:p w14:paraId="59D9D7C1" w14:textId="35D68394"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07" w:history="1">
        <w:r w:rsidRPr="00DC2D2A">
          <w:rPr>
            <w:rStyle w:val="af0"/>
            <w:noProof/>
            <w:lang w:val="en-US"/>
          </w:rPr>
          <w:t>Chapter</w:t>
        </w:r>
        <w:r w:rsidRPr="00DC2D2A">
          <w:rPr>
            <w:rStyle w:val="af0"/>
            <w:noProof/>
            <w:lang w:val="kk-KZ"/>
          </w:rPr>
          <w:t xml:space="preserve"> 3. Environmental and Social Risk Management </w:t>
        </w:r>
        <w:r w:rsidRPr="00DC2D2A">
          <w:rPr>
            <w:rStyle w:val="af0"/>
            <w:noProof/>
            <w:lang w:val="en-US"/>
          </w:rPr>
          <w:t>System</w:t>
        </w:r>
        <w:r>
          <w:rPr>
            <w:noProof/>
            <w:webHidden/>
          </w:rPr>
          <w:tab/>
        </w:r>
        <w:r>
          <w:rPr>
            <w:noProof/>
            <w:webHidden/>
          </w:rPr>
          <w:fldChar w:fldCharType="begin"/>
        </w:r>
        <w:r>
          <w:rPr>
            <w:noProof/>
            <w:webHidden/>
          </w:rPr>
          <w:instrText xml:space="preserve"> PAGEREF _Toc199501407 \h </w:instrText>
        </w:r>
        <w:r>
          <w:rPr>
            <w:noProof/>
            <w:webHidden/>
          </w:rPr>
        </w:r>
        <w:r>
          <w:rPr>
            <w:noProof/>
            <w:webHidden/>
          </w:rPr>
          <w:fldChar w:fldCharType="separate"/>
        </w:r>
        <w:r>
          <w:rPr>
            <w:noProof/>
            <w:webHidden/>
          </w:rPr>
          <w:t>3</w:t>
        </w:r>
        <w:r>
          <w:rPr>
            <w:noProof/>
            <w:webHidden/>
          </w:rPr>
          <w:fldChar w:fldCharType="end"/>
        </w:r>
      </w:hyperlink>
    </w:p>
    <w:p w14:paraId="1536DF9B" w14:textId="3622B35C" w:rsidR="00A75CB2" w:rsidRDefault="00A75CB2">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1408" w:history="1">
        <w:r w:rsidRPr="00DC2D2A">
          <w:rPr>
            <w:rStyle w:val="af0"/>
            <w:noProof/>
            <w:lang w:val="en-US"/>
          </w:rPr>
          <w:t>3.1. Due Diligence Tools and Procedures</w:t>
        </w:r>
        <w:r>
          <w:rPr>
            <w:noProof/>
            <w:webHidden/>
          </w:rPr>
          <w:tab/>
        </w:r>
        <w:r>
          <w:rPr>
            <w:noProof/>
            <w:webHidden/>
          </w:rPr>
          <w:fldChar w:fldCharType="begin"/>
        </w:r>
        <w:r>
          <w:rPr>
            <w:noProof/>
            <w:webHidden/>
          </w:rPr>
          <w:instrText xml:space="preserve"> PAGEREF _Toc199501408 \h </w:instrText>
        </w:r>
        <w:r>
          <w:rPr>
            <w:noProof/>
            <w:webHidden/>
          </w:rPr>
        </w:r>
        <w:r>
          <w:rPr>
            <w:noProof/>
            <w:webHidden/>
          </w:rPr>
          <w:fldChar w:fldCharType="separate"/>
        </w:r>
        <w:r>
          <w:rPr>
            <w:noProof/>
            <w:webHidden/>
          </w:rPr>
          <w:t>3</w:t>
        </w:r>
        <w:r>
          <w:rPr>
            <w:noProof/>
            <w:webHidden/>
          </w:rPr>
          <w:fldChar w:fldCharType="end"/>
        </w:r>
      </w:hyperlink>
    </w:p>
    <w:p w14:paraId="752D04A3" w14:textId="13E7CAB7" w:rsidR="00A75CB2" w:rsidRDefault="00A75CB2">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1409" w:history="1">
        <w:r w:rsidRPr="00DC2D2A">
          <w:rPr>
            <w:rStyle w:val="af0"/>
            <w:noProof/>
            <w:lang w:val="kk-KZ"/>
          </w:rPr>
          <w:t>3.2. Organizational Structure for Sustainable Finance Managemen</w:t>
        </w:r>
        <w:r w:rsidRPr="00DC2D2A">
          <w:rPr>
            <w:rStyle w:val="af0"/>
            <w:noProof/>
            <w:lang w:val="en-US"/>
          </w:rPr>
          <w:t>t</w:t>
        </w:r>
        <w:r>
          <w:rPr>
            <w:noProof/>
            <w:webHidden/>
          </w:rPr>
          <w:tab/>
        </w:r>
        <w:r>
          <w:rPr>
            <w:noProof/>
            <w:webHidden/>
          </w:rPr>
          <w:fldChar w:fldCharType="begin"/>
        </w:r>
        <w:r>
          <w:rPr>
            <w:noProof/>
            <w:webHidden/>
          </w:rPr>
          <w:instrText xml:space="preserve"> PAGEREF _Toc199501409 \h </w:instrText>
        </w:r>
        <w:r>
          <w:rPr>
            <w:noProof/>
            <w:webHidden/>
          </w:rPr>
        </w:r>
        <w:r>
          <w:rPr>
            <w:noProof/>
            <w:webHidden/>
          </w:rPr>
          <w:fldChar w:fldCharType="separate"/>
        </w:r>
        <w:r>
          <w:rPr>
            <w:noProof/>
            <w:webHidden/>
          </w:rPr>
          <w:t>4</w:t>
        </w:r>
        <w:r>
          <w:rPr>
            <w:noProof/>
            <w:webHidden/>
          </w:rPr>
          <w:fldChar w:fldCharType="end"/>
        </w:r>
      </w:hyperlink>
    </w:p>
    <w:p w14:paraId="5B17DE6B" w14:textId="0AFF169C"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10" w:history="1">
        <w:r w:rsidRPr="00DC2D2A">
          <w:rPr>
            <w:rStyle w:val="af0"/>
            <w:noProof/>
            <w:lang w:val="en-US"/>
          </w:rPr>
          <w:t>Chapter</w:t>
        </w:r>
        <w:r w:rsidRPr="00DC2D2A">
          <w:rPr>
            <w:rStyle w:val="af0"/>
            <w:noProof/>
            <w:lang w:val="kk-KZ"/>
          </w:rPr>
          <w:t xml:space="preserve"> 4. </w:t>
        </w:r>
        <w:r w:rsidRPr="00DC2D2A">
          <w:rPr>
            <w:rStyle w:val="af0"/>
            <w:noProof/>
            <w:lang w:val="en-US"/>
          </w:rPr>
          <w:t>Contingency</w:t>
        </w:r>
        <w:r w:rsidRPr="00DC2D2A">
          <w:rPr>
            <w:rStyle w:val="af0"/>
            <w:noProof/>
          </w:rPr>
          <w:t xml:space="preserve"> </w:t>
        </w:r>
        <w:r w:rsidRPr="00DC2D2A">
          <w:rPr>
            <w:rStyle w:val="af0"/>
            <w:noProof/>
            <w:lang w:val="en-US"/>
          </w:rPr>
          <w:t>Management</w:t>
        </w:r>
        <w:r>
          <w:rPr>
            <w:noProof/>
            <w:webHidden/>
          </w:rPr>
          <w:tab/>
        </w:r>
        <w:r>
          <w:rPr>
            <w:noProof/>
            <w:webHidden/>
          </w:rPr>
          <w:fldChar w:fldCharType="begin"/>
        </w:r>
        <w:r>
          <w:rPr>
            <w:noProof/>
            <w:webHidden/>
          </w:rPr>
          <w:instrText xml:space="preserve"> PAGEREF _Toc199501410 \h </w:instrText>
        </w:r>
        <w:r>
          <w:rPr>
            <w:noProof/>
            <w:webHidden/>
          </w:rPr>
        </w:r>
        <w:r>
          <w:rPr>
            <w:noProof/>
            <w:webHidden/>
          </w:rPr>
          <w:fldChar w:fldCharType="separate"/>
        </w:r>
        <w:r>
          <w:rPr>
            <w:noProof/>
            <w:webHidden/>
          </w:rPr>
          <w:t>4</w:t>
        </w:r>
        <w:r>
          <w:rPr>
            <w:noProof/>
            <w:webHidden/>
          </w:rPr>
          <w:fldChar w:fldCharType="end"/>
        </w:r>
      </w:hyperlink>
    </w:p>
    <w:p w14:paraId="3DBC9CCB" w14:textId="28F24A9B"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11" w:history="1">
        <w:r w:rsidRPr="00DC2D2A">
          <w:rPr>
            <w:rStyle w:val="af0"/>
            <w:noProof/>
            <w:lang w:val="en-US"/>
          </w:rPr>
          <w:t>Chapter</w:t>
        </w:r>
        <w:r w:rsidRPr="00DC2D2A">
          <w:rPr>
            <w:rStyle w:val="af0"/>
            <w:noProof/>
            <w:lang w:val="kk-KZ"/>
          </w:rPr>
          <w:t xml:space="preserve"> 5.</w:t>
        </w:r>
        <w:r w:rsidRPr="00DC2D2A">
          <w:rPr>
            <w:rStyle w:val="af0"/>
            <w:noProof/>
          </w:rPr>
          <w:t xml:space="preserve"> </w:t>
        </w:r>
        <w:r w:rsidRPr="00DC2D2A">
          <w:rPr>
            <w:rStyle w:val="af0"/>
            <w:noProof/>
            <w:lang w:val="en-US"/>
          </w:rPr>
          <w:t>Sustainable Loan Products</w:t>
        </w:r>
        <w:r>
          <w:rPr>
            <w:noProof/>
            <w:webHidden/>
          </w:rPr>
          <w:tab/>
        </w:r>
        <w:r>
          <w:rPr>
            <w:noProof/>
            <w:webHidden/>
          </w:rPr>
          <w:fldChar w:fldCharType="begin"/>
        </w:r>
        <w:r>
          <w:rPr>
            <w:noProof/>
            <w:webHidden/>
          </w:rPr>
          <w:instrText xml:space="preserve"> PAGEREF _Toc199501411 \h </w:instrText>
        </w:r>
        <w:r>
          <w:rPr>
            <w:noProof/>
            <w:webHidden/>
          </w:rPr>
        </w:r>
        <w:r>
          <w:rPr>
            <w:noProof/>
            <w:webHidden/>
          </w:rPr>
          <w:fldChar w:fldCharType="separate"/>
        </w:r>
        <w:r>
          <w:rPr>
            <w:noProof/>
            <w:webHidden/>
          </w:rPr>
          <w:t>5</w:t>
        </w:r>
        <w:r>
          <w:rPr>
            <w:noProof/>
            <w:webHidden/>
          </w:rPr>
          <w:fldChar w:fldCharType="end"/>
        </w:r>
      </w:hyperlink>
    </w:p>
    <w:p w14:paraId="07D7DD22" w14:textId="643EA823"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12" w:history="1">
        <w:r w:rsidRPr="00DC2D2A">
          <w:rPr>
            <w:rStyle w:val="af0"/>
            <w:noProof/>
            <w:lang w:val="en-US"/>
          </w:rPr>
          <w:t>Chapter 6. Management Reporting on Sustainable Financing</w:t>
        </w:r>
        <w:r>
          <w:rPr>
            <w:noProof/>
            <w:webHidden/>
          </w:rPr>
          <w:tab/>
        </w:r>
        <w:r>
          <w:rPr>
            <w:noProof/>
            <w:webHidden/>
          </w:rPr>
          <w:fldChar w:fldCharType="begin"/>
        </w:r>
        <w:r>
          <w:rPr>
            <w:noProof/>
            <w:webHidden/>
          </w:rPr>
          <w:instrText xml:space="preserve"> PAGEREF _Toc199501412 \h </w:instrText>
        </w:r>
        <w:r>
          <w:rPr>
            <w:noProof/>
            <w:webHidden/>
          </w:rPr>
        </w:r>
        <w:r>
          <w:rPr>
            <w:noProof/>
            <w:webHidden/>
          </w:rPr>
          <w:fldChar w:fldCharType="separate"/>
        </w:r>
        <w:r>
          <w:rPr>
            <w:noProof/>
            <w:webHidden/>
          </w:rPr>
          <w:t>6</w:t>
        </w:r>
        <w:r>
          <w:rPr>
            <w:noProof/>
            <w:webHidden/>
          </w:rPr>
          <w:fldChar w:fldCharType="end"/>
        </w:r>
      </w:hyperlink>
    </w:p>
    <w:p w14:paraId="7F4B1C77" w14:textId="16C3CBF3" w:rsidR="00A75CB2" w:rsidRDefault="00A75CB2">
      <w:pPr>
        <w:pStyle w:val="13"/>
        <w:tabs>
          <w:tab w:val="right" w:leader="dot" w:pos="10195"/>
        </w:tabs>
        <w:rPr>
          <w:rFonts w:asciiTheme="minorHAnsi" w:eastAsiaTheme="minorEastAsia" w:hAnsiTheme="minorHAnsi"/>
          <w:noProof/>
          <w:kern w:val="2"/>
          <w:szCs w:val="24"/>
          <w:lang w:val="ru-KZ" w:eastAsia="ru-KZ"/>
          <w14:ligatures w14:val="standardContextual"/>
        </w:rPr>
      </w:pPr>
      <w:hyperlink w:anchor="_Toc199501413" w:history="1">
        <w:r w:rsidRPr="00DC2D2A">
          <w:rPr>
            <w:rStyle w:val="af0"/>
            <w:noProof/>
            <w:lang w:val="en-US"/>
          </w:rPr>
          <w:t>Chapter</w:t>
        </w:r>
        <w:r w:rsidRPr="00DC2D2A">
          <w:rPr>
            <w:rStyle w:val="af0"/>
            <w:noProof/>
          </w:rPr>
          <w:t xml:space="preserve"> 7. </w:t>
        </w:r>
        <w:r w:rsidRPr="00DC2D2A">
          <w:rPr>
            <w:rStyle w:val="af0"/>
            <w:noProof/>
            <w:lang w:val="en-US"/>
          </w:rPr>
          <w:t>Final Provisions</w:t>
        </w:r>
        <w:r>
          <w:rPr>
            <w:noProof/>
            <w:webHidden/>
          </w:rPr>
          <w:tab/>
        </w:r>
        <w:r>
          <w:rPr>
            <w:noProof/>
            <w:webHidden/>
          </w:rPr>
          <w:fldChar w:fldCharType="begin"/>
        </w:r>
        <w:r>
          <w:rPr>
            <w:noProof/>
            <w:webHidden/>
          </w:rPr>
          <w:instrText xml:space="preserve"> PAGEREF _Toc199501413 \h </w:instrText>
        </w:r>
        <w:r>
          <w:rPr>
            <w:noProof/>
            <w:webHidden/>
          </w:rPr>
        </w:r>
        <w:r>
          <w:rPr>
            <w:noProof/>
            <w:webHidden/>
          </w:rPr>
          <w:fldChar w:fldCharType="separate"/>
        </w:r>
        <w:r>
          <w:rPr>
            <w:noProof/>
            <w:webHidden/>
          </w:rPr>
          <w:t>7</w:t>
        </w:r>
        <w:r>
          <w:rPr>
            <w:noProof/>
            <w:webHidden/>
          </w:rPr>
          <w:fldChar w:fldCharType="end"/>
        </w:r>
      </w:hyperlink>
    </w:p>
    <w:p w14:paraId="7F900D7E" w14:textId="13965432" w:rsidR="00A75CB2" w:rsidRDefault="00A75CB2">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1414" w:history="1">
        <w:r w:rsidRPr="00DC2D2A">
          <w:rPr>
            <w:rStyle w:val="af0"/>
            <w:rFonts w:eastAsia="Times New Roman"/>
            <w:noProof/>
            <w:lang w:val="en-US" w:eastAsia="ru-RU"/>
          </w:rPr>
          <w:t>Annex</w:t>
        </w:r>
        <w:r w:rsidRPr="00DC2D2A">
          <w:rPr>
            <w:rStyle w:val="af0"/>
            <w:rFonts w:eastAsia="Times New Roman"/>
            <w:noProof/>
            <w:lang w:eastAsia="ru-RU"/>
          </w:rPr>
          <w:t xml:space="preserve"> 1. </w:t>
        </w:r>
        <w:r w:rsidRPr="00DC2D2A">
          <w:rPr>
            <w:rStyle w:val="af0"/>
            <w:rFonts w:eastAsia="Times New Roman"/>
            <w:noProof/>
            <w:lang w:val="en-US" w:eastAsia="ru-RU"/>
          </w:rPr>
          <w:t>Non-Financing Activity List</w:t>
        </w:r>
        <w:r>
          <w:rPr>
            <w:noProof/>
            <w:webHidden/>
          </w:rPr>
          <w:tab/>
        </w:r>
        <w:r>
          <w:rPr>
            <w:noProof/>
            <w:webHidden/>
          </w:rPr>
          <w:fldChar w:fldCharType="begin"/>
        </w:r>
        <w:r>
          <w:rPr>
            <w:noProof/>
            <w:webHidden/>
          </w:rPr>
          <w:instrText xml:space="preserve"> PAGEREF _Toc199501414 \h </w:instrText>
        </w:r>
        <w:r>
          <w:rPr>
            <w:noProof/>
            <w:webHidden/>
          </w:rPr>
        </w:r>
        <w:r>
          <w:rPr>
            <w:noProof/>
            <w:webHidden/>
          </w:rPr>
          <w:fldChar w:fldCharType="separate"/>
        </w:r>
        <w:r>
          <w:rPr>
            <w:noProof/>
            <w:webHidden/>
          </w:rPr>
          <w:t>8</w:t>
        </w:r>
        <w:r>
          <w:rPr>
            <w:noProof/>
            <w:webHidden/>
          </w:rPr>
          <w:fldChar w:fldCharType="end"/>
        </w:r>
      </w:hyperlink>
    </w:p>
    <w:p w14:paraId="54629C2C" w14:textId="3E305261" w:rsidR="00A75CB2" w:rsidRDefault="00A75CB2">
      <w:pPr>
        <w:pStyle w:val="21"/>
        <w:tabs>
          <w:tab w:val="right" w:leader="dot" w:pos="10195"/>
        </w:tabs>
        <w:rPr>
          <w:rFonts w:asciiTheme="minorHAnsi" w:eastAsiaTheme="minorEastAsia" w:hAnsiTheme="minorHAnsi"/>
          <w:noProof/>
          <w:kern w:val="2"/>
          <w:szCs w:val="24"/>
          <w:lang w:val="ru-KZ" w:eastAsia="ru-KZ"/>
          <w14:ligatures w14:val="standardContextual"/>
        </w:rPr>
      </w:pPr>
      <w:hyperlink w:anchor="_Toc199501415" w:history="1">
        <w:r w:rsidRPr="00DC2D2A">
          <w:rPr>
            <w:rStyle w:val="af0"/>
            <w:noProof/>
            <w:lang w:val="en-US"/>
          </w:rPr>
          <w:t>Annex</w:t>
        </w:r>
        <w:r w:rsidRPr="00DC2D2A">
          <w:rPr>
            <w:rStyle w:val="af0"/>
            <w:noProof/>
            <w:lang w:val="kk-KZ"/>
          </w:rPr>
          <w:t xml:space="preserve"> 2. </w:t>
        </w:r>
        <w:r w:rsidRPr="00DC2D2A">
          <w:rPr>
            <w:rStyle w:val="af0"/>
            <w:noProof/>
            <w:lang w:val="en-US"/>
          </w:rPr>
          <w:t>Terms</w:t>
        </w:r>
        <w:r w:rsidRPr="00DC2D2A">
          <w:rPr>
            <w:rStyle w:val="af0"/>
            <w:noProof/>
          </w:rPr>
          <w:t xml:space="preserve"> </w:t>
        </w:r>
        <w:r w:rsidRPr="00DC2D2A">
          <w:rPr>
            <w:rStyle w:val="af0"/>
            <w:noProof/>
            <w:lang w:val="en-US"/>
          </w:rPr>
          <w:t>and</w:t>
        </w:r>
        <w:r w:rsidRPr="00DC2D2A">
          <w:rPr>
            <w:rStyle w:val="af0"/>
            <w:noProof/>
          </w:rPr>
          <w:t xml:space="preserve"> </w:t>
        </w:r>
        <w:r w:rsidRPr="00DC2D2A">
          <w:rPr>
            <w:rStyle w:val="af0"/>
            <w:noProof/>
            <w:lang w:val="en-US"/>
          </w:rPr>
          <w:t>Abbreviations</w:t>
        </w:r>
        <w:r>
          <w:rPr>
            <w:noProof/>
            <w:webHidden/>
          </w:rPr>
          <w:tab/>
        </w:r>
        <w:r>
          <w:rPr>
            <w:noProof/>
            <w:webHidden/>
          </w:rPr>
          <w:fldChar w:fldCharType="begin"/>
        </w:r>
        <w:r>
          <w:rPr>
            <w:noProof/>
            <w:webHidden/>
          </w:rPr>
          <w:instrText xml:space="preserve"> PAGEREF _Toc199501415 \h </w:instrText>
        </w:r>
        <w:r>
          <w:rPr>
            <w:noProof/>
            <w:webHidden/>
          </w:rPr>
        </w:r>
        <w:r>
          <w:rPr>
            <w:noProof/>
            <w:webHidden/>
          </w:rPr>
          <w:fldChar w:fldCharType="separate"/>
        </w:r>
        <w:r>
          <w:rPr>
            <w:noProof/>
            <w:webHidden/>
          </w:rPr>
          <w:t>10</w:t>
        </w:r>
        <w:r>
          <w:rPr>
            <w:noProof/>
            <w:webHidden/>
          </w:rPr>
          <w:fldChar w:fldCharType="end"/>
        </w:r>
      </w:hyperlink>
    </w:p>
    <w:p w14:paraId="6A607DAA" w14:textId="660E387F" w:rsidR="00F2456E" w:rsidRPr="00EC2D78" w:rsidRDefault="00103799" w:rsidP="00F2456E">
      <w:pPr>
        <w:pStyle w:val="af5"/>
        <w:jc w:val="center"/>
        <w:rPr>
          <w:rFonts w:eastAsia="Calibri" w:cs="Times New Roman"/>
          <w:b/>
          <w:szCs w:val="24"/>
          <w:lang w:val="ru-RU" w:eastAsia="zh-CN"/>
        </w:rPr>
      </w:pPr>
      <w:r>
        <w:rPr>
          <w:rFonts w:eastAsia="Calibri" w:cs="Times New Roman"/>
          <w:b/>
          <w:szCs w:val="24"/>
          <w:lang w:eastAsia="zh-CN"/>
        </w:rPr>
        <w:fldChar w:fldCharType="end"/>
      </w:r>
      <w:bookmarkStart w:id="1" w:name="_Toc136446376"/>
      <w:bookmarkStart w:id="2" w:name="_Toc139019038"/>
      <w:bookmarkStart w:id="3" w:name="_Toc139290499"/>
      <w:bookmarkStart w:id="4" w:name="_Toc139473416"/>
      <w:bookmarkStart w:id="5" w:name="annex"/>
    </w:p>
    <w:p w14:paraId="12C1D5A0" w14:textId="77777777" w:rsidR="00F2456E" w:rsidRDefault="005E569E" w:rsidP="00F2456E">
      <w:pPr>
        <w:pStyle w:val="1"/>
        <w:ind w:left="360"/>
        <w:rPr>
          <w:lang w:val="kk-KZ"/>
        </w:rPr>
      </w:pPr>
      <w:bookmarkStart w:id="6" w:name="_Глава_1._Общие"/>
      <w:bookmarkStart w:id="7" w:name="_Toc199501405"/>
      <w:bookmarkEnd w:id="6"/>
      <w:r>
        <w:rPr>
          <w:lang w:val="en-US"/>
        </w:rPr>
        <w:t>Chapter</w:t>
      </w:r>
      <w:r w:rsidR="00F2456E">
        <w:rPr>
          <w:lang w:val="kk-KZ"/>
        </w:rPr>
        <w:t xml:space="preserve"> 1. </w:t>
      </w:r>
      <w:r>
        <w:rPr>
          <w:lang w:val="en-US"/>
        </w:rPr>
        <w:t>General</w:t>
      </w:r>
      <w:bookmarkEnd w:id="1"/>
      <w:bookmarkEnd w:id="2"/>
      <w:bookmarkEnd w:id="3"/>
      <w:bookmarkEnd w:id="4"/>
      <w:bookmarkEnd w:id="7"/>
    </w:p>
    <w:p w14:paraId="312D200F" w14:textId="77777777" w:rsidR="00F2456E" w:rsidRPr="00E6714C" w:rsidRDefault="005E569E" w:rsidP="00F2456E">
      <w:pPr>
        <w:pStyle w:val="a7"/>
        <w:numPr>
          <w:ilvl w:val="0"/>
          <w:numId w:val="1"/>
        </w:numPr>
        <w:tabs>
          <w:tab w:val="left" w:pos="567"/>
        </w:tabs>
        <w:ind w:left="0" w:firstLine="0"/>
        <w:jc w:val="both"/>
        <w:rPr>
          <w:lang w:val="kk-KZ"/>
        </w:rPr>
      </w:pPr>
      <w:r w:rsidRPr="005E569E">
        <w:rPr>
          <w:lang w:val="kk-KZ"/>
        </w:rPr>
        <w:t xml:space="preserve">JSC Bank CenterCredit Environmental and Social Risk Management Policy </w:t>
      </w:r>
      <w:r w:rsidR="00F2456E" w:rsidRPr="006634B2">
        <w:rPr>
          <w:lang w:val="kk-KZ"/>
        </w:rPr>
        <w:t>(</w:t>
      </w:r>
      <w:r w:rsidRPr="005E569E">
        <w:rPr>
          <w:lang w:val="kk-KZ"/>
        </w:rPr>
        <w:t>the Policy</w:t>
      </w:r>
      <w:r w:rsidR="00F2456E" w:rsidRPr="006634B2">
        <w:rPr>
          <w:lang w:val="kk-KZ"/>
        </w:rPr>
        <w:t xml:space="preserve">) </w:t>
      </w:r>
      <w:r w:rsidRPr="005E569E">
        <w:rPr>
          <w:lang w:val="kk-KZ"/>
        </w:rPr>
        <w:t>is an internal regulatory document of JSC Bank CenterCredit</w:t>
      </w:r>
      <w:r w:rsidR="00F2456E" w:rsidRPr="006634B2">
        <w:rPr>
          <w:lang w:val="kk-KZ"/>
        </w:rPr>
        <w:t xml:space="preserve"> (</w:t>
      </w:r>
      <w:r w:rsidRPr="005E569E">
        <w:rPr>
          <w:lang w:val="kk-KZ"/>
        </w:rPr>
        <w:t>the Ban</w:t>
      </w:r>
      <w:r>
        <w:rPr>
          <w:lang w:val="en-US"/>
        </w:rPr>
        <w:t>k</w:t>
      </w:r>
      <w:r>
        <w:rPr>
          <w:lang w:val="kk-KZ"/>
        </w:rPr>
        <w:t>)</w:t>
      </w:r>
      <w:r>
        <w:rPr>
          <w:lang w:val="en-US"/>
        </w:rPr>
        <w:t xml:space="preserve"> that outlines the Bank’s responsible financing targets, principles, objectives and approaches</w:t>
      </w:r>
      <w:r w:rsidR="00F2456E">
        <w:rPr>
          <w:lang w:val="kk-KZ"/>
        </w:rPr>
        <w:t>.</w:t>
      </w:r>
    </w:p>
    <w:p w14:paraId="2B33BD7C" w14:textId="77777777" w:rsidR="00F2456E" w:rsidRPr="00E6714C" w:rsidRDefault="005E569E" w:rsidP="00F2456E">
      <w:pPr>
        <w:pStyle w:val="a7"/>
        <w:numPr>
          <w:ilvl w:val="0"/>
          <w:numId w:val="1"/>
        </w:numPr>
        <w:tabs>
          <w:tab w:val="left" w:pos="567"/>
        </w:tabs>
        <w:ind w:left="0" w:firstLine="0"/>
        <w:jc w:val="both"/>
        <w:rPr>
          <w:lang w:val="kk-KZ"/>
        </w:rPr>
      </w:pPr>
      <w:r w:rsidRPr="005E569E">
        <w:rPr>
          <w:lang w:val="kk-KZ"/>
        </w:rPr>
        <w:t>The Policy has been developed in accordance with regulatory legal acts of the Republic of Kazakhstan, including</w:t>
      </w:r>
      <w:r w:rsidR="00F2456E" w:rsidRPr="00E6714C">
        <w:rPr>
          <w:lang w:val="kk-KZ"/>
        </w:rPr>
        <w:t>:</w:t>
      </w:r>
    </w:p>
    <w:p w14:paraId="7AF9164F" w14:textId="77777777" w:rsidR="00F2456E" w:rsidRPr="00FE6633" w:rsidRDefault="005E569E" w:rsidP="00F2456E">
      <w:pPr>
        <w:pStyle w:val="a7"/>
        <w:numPr>
          <w:ilvl w:val="0"/>
          <w:numId w:val="8"/>
        </w:numPr>
        <w:jc w:val="both"/>
        <w:rPr>
          <w:lang w:val="kk-KZ"/>
        </w:rPr>
      </w:pPr>
      <w:r w:rsidRPr="00DF7DB3">
        <w:rPr>
          <w:rFonts w:cs="Times New Roman"/>
          <w:szCs w:val="24"/>
          <w:lang w:val="kk-KZ"/>
        </w:rPr>
        <w:t>Concept for Development of the Financial Sector of the Republic of Kazakhstan until 2030 as approved by the Decree of the President of the Republic of Kazakhstan No. 1021 dated 26 September 2022</w:t>
      </w:r>
      <w:r w:rsidR="00F2456E" w:rsidRPr="00FE6633">
        <w:rPr>
          <w:lang w:val="kk-KZ"/>
        </w:rPr>
        <w:t>;</w:t>
      </w:r>
    </w:p>
    <w:p w14:paraId="40D9D3DA" w14:textId="77777777" w:rsidR="00F2456E" w:rsidRPr="00FE6633" w:rsidRDefault="005E569E" w:rsidP="00F2456E">
      <w:pPr>
        <w:pStyle w:val="a7"/>
        <w:numPr>
          <w:ilvl w:val="0"/>
          <w:numId w:val="8"/>
        </w:numPr>
        <w:jc w:val="both"/>
        <w:rPr>
          <w:lang w:val="kk-KZ"/>
        </w:rPr>
      </w:pPr>
      <w:r w:rsidRPr="00DF7DB3">
        <w:rPr>
          <w:rFonts w:cs="Times New Roman"/>
          <w:szCs w:val="24"/>
          <w:lang w:val="kk-KZ"/>
        </w:rPr>
        <w:t>Environmental Code of the Republic of Kazakhstan No.400-VI LRK dated 2 January 2021</w:t>
      </w:r>
      <w:r w:rsidR="00F2456E" w:rsidRPr="00FE6633">
        <w:rPr>
          <w:lang w:val="kk-KZ"/>
        </w:rPr>
        <w:t>;</w:t>
      </w:r>
    </w:p>
    <w:p w14:paraId="7FA13579" w14:textId="77777777" w:rsidR="00F2456E" w:rsidRPr="00FE6633" w:rsidRDefault="004543EF" w:rsidP="00F2456E">
      <w:pPr>
        <w:pStyle w:val="a7"/>
        <w:numPr>
          <w:ilvl w:val="0"/>
          <w:numId w:val="8"/>
        </w:numPr>
        <w:jc w:val="both"/>
        <w:rPr>
          <w:lang w:val="kk-KZ"/>
        </w:rPr>
      </w:pPr>
      <w:r w:rsidRPr="00E2096D">
        <w:rPr>
          <w:lang w:val="kk-KZ"/>
        </w:rPr>
        <w:lastRenderedPageBreak/>
        <w:t>Classification (Taxonomy) of Green Projects to Be Financed Through Green Bonds and Green Loans as approved by the Decree of the Government of the Republic of Kazakhstan No. 996 dated 31 December 2021</w:t>
      </w:r>
      <w:r w:rsidR="00F2456E" w:rsidRPr="00FE6633">
        <w:rPr>
          <w:lang w:val="kk-KZ"/>
        </w:rPr>
        <w:t>;</w:t>
      </w:r>
    </w:p>
    <w:p w14:paraId="668D56A5" w14:textId="77777777" w:rsidR="00F2456E" w:rsidRPr="00FE6633" w:rsidRDefault="005E569E" w:rsidP="00F2456E">
      <w:pPr>
        <w:pStyle w:val="a7"/>
        <w:numPr>
          <w:ilvl w:val="0"/>
          <w:numId w:val="8"/>
        </w:numPr>
        <w:jc w:val="both"/>
        <w:rPr>
          <w:lang w:val="kk-KZ"/>
        </w:rPr>
      </w:pPr>
      <w:r w:rsidRPr="00DF7DB3">
        <w:rPr>
          <w:lang w:val="kk-KZ"/>
        </w:rPr>
        <w:t>Strategy for Achieving Carbon Neutrality of the Republic of Kazakhstan until 2060 as approved by the Decree of the President of the Republic of Kazakhstan No. 121 dated 2 February 2023</w:t>
      </w:r>
      <w:r w:rsidR="00F2456E" w:rsidRPr="00FE6633">
        <w:rPr>
          <w:lang w:val="kk-KZ"/>
        </w:rPr>
        <w:t>;</w:t>
      </w:r>
    </w:p>
    <w:p w14:paraId="5741E32A" w14:textId="77777777" w:rsidR="00F2456E" w:rsidRPr="005E569E" w:rsidRDefault="005E569E" w:rsidP="00F2456E">
      <w:pPr>
        <w:pStyle w:val="a7"/>
        <w:numPr>
          <w:ilvl w:val="0"/>
          <w:numId w:val="8"/>
        </w:numPr>
        <w:spacing w:after="0"/>
        <w:jc w:val="both"/>
        <w:rPr>
          <w:color w:val="000000" w:themeColor="text1"/>
          <w:lang w:val="en-US"/>
        </w:rPr>
      </w:pPr>
      <w:r w:rsidRPr="00DF7DB3">
        <w:rPr>
          <w:rFonts w:cs="Times New Roman"/>
          <w:szCs w:val="24"/>
          <w:lang w:val="kk-KZ"/>
        </w:rPr>
        <w:t>Roadmap for Implementation of ESG Principles in regulation of the financial market of Kazakhstan as approved by the Order of the Chairman of the Agency of the Republic of Kazakhstan for Regulation and Development of Financial Market No.187 dated 16 March 2023</w:t>
      </w:r>
      <w:r w:rsidR="00F2456E" w:rsidRPr="005E569E">
        <w:rPr>
          <w:color w:val="000000" w:themeColor="text1"/>
          <w:lang w:val="en-US"/>
        </w:rPr>
        <w:t>;</w:t>
      </w:r>
    </w:p>
    <w:p w14:paraId="15B49954" w14:textId="0E4DC041" w:rsidR="00F2456E" w:rsidRPr="00E94F9F" w:rsidRDefault="004543EF" w:rsidP="00F2456E">
      <w:pPr>
        <w:pStyle w:val="a7"/>
        <w:numPr>
          <w:ilvl w:val="0"/>
          <w:numId w:val="8"/>
        </w:numPr>
        <w:spacing w:after="0"/>
        <w:jc w:val="both"/>
        <w:rPr>
          <w:color w:val="000000" w:themeColor="text1"/>
        </w:rPr>
      </w:pPr>
      <w:r w:rsidRPr="004543EF">
        <w:rPr>
          <w:color w:val="000000" w:themeColor="text1"/>
          <w:lang w:val="en-US"/>
        </w:rPr>
        <w:t xml:space="preserve">Methodological </w:t>
      </w:r>
      <w:r>
        <w:rPr>
          <w:color w:val="000000" w:themeColor="text1"/>
          <w:lang w:val="en-US"/>
        </w:rPr>
        <w:t>Manual</w:t>
      </w:r>
      <w:r w:rsidRPr="004543EF">
        <w:rPr>
          <w:color w:val="000000" w:themeColor="text1"/>
          <w:lang w:val="en-US"/>
        </w:rPr>
        <w:t xml:space="preserve"> on Environmental and Social Risk Management for Financial </w:t>
      </w:r>
      <w:r>
        <w:rPr>
          <w:color w:val="000000" w:themeColor="text1"/>
          <w:lang w:val="en-US"/>
        </w:rPr>
        <w:t>Institutions as</w:t>
      </w:r>
      <w:r w:rsidRPr="004543EF">
        <w:rPr>
          <w:color w:val="000000" w:themeColor="text1"/>
          <w:lang w:val="en-US"/>
        </w:rPr>
        <w:t xml:space="preserve"> approved by the Order of the </w:t>
      </w:r>
      <w:r w:rsidR="00AA554A" w:rsidRPr="004543EF">
        <w:rPr>
          <w:color w:val="000000" w:themeColor="text1"/>
          <w:lang w:val="en-US"/>
        </w:rPr>
        <w:t>Chairperson</w:t>
      </w:r>
      <w:r w:rsidRPr="004543EF">
        <w:rPr>
          <w:color w:val="000000" w:themeColor="text1"/>
          <w:lang w:val="en-US"/>
        </w:rPr>
        <w:t xml:space="preserve"> of the Agency of the Republic of Kazakhstan on Regulation and Development of Financial Market </w:t>
      </w:r>
      <w:r>
        <w:rPr>
          <w:color w:val="000000" w:themeColor="text1"/>
          <w:lang w:val="en-US"/>
        </w:rPr>
        <w:t xml:space="preserve">No. </w:t>
      </w:r>
      <w:r w:rsidRPr="004543EF">
        <w:rPr>
          <w:color w:val="000000" w:themeColor="text1"/>
          <w:lang w:val="en-US"/>
        </w:rPr>
        <w:t>B</w:t>
      </w:r>
      <w:r w:rsidRPr="004543EF">
        <w:rPr>
          <w:color w:val="000000" w:themeColor="text1"/>
        </w:rPr>
        <w:t xml:space="preserve">-228 </w:t>
      </w:r>
      <w:r>
        <w:rPr>
          <w:color w:val="000000" w:themeColor="text1"/>
          <w:lang w:val="en-US"/>
        </w:rPr>
        <w:t>dated</w:t>
      </w:r>
      <w:r w:rsidRPr="004543EF">
        <w:rPr>
          <w:color w:val="000000" w:themeColor="text1"/>
        </w:rPr>
        <w:t xml:space="preserve"> 15 </w:t>
      </w:r>
      <w:r>
        <w:rPr>
          <w:color w:val="000000" w:themeColor="text1"/>
          <w:lang w:val="en-US"/>
        </w:rPr>
        <w:t>July</w:t>
      </w:r>
      <w:r w:rsidRPr="004543EF">
        <w:rPr>
          <w:color w:val="000000" w:themeColor="text1"/>
        </w:rPr>
        <w:t xml:space="preserve"> 202</w:t>
      </w:r>
      <w:r>
        <w:rPr>
          <w:color w:val="000000" w:themeColor="text1"/>
          <w:lang w:val="en-US"/>
        </w:rPr>
        <w:t>4</w:t>
      </w:r>
      <w:r w:rsidR="00F2456E" w:rsidRPr="00E94F9F">
        <w:rPr>
          <w:color w:val="000000" w:themeColor="text1"/>
        </w:rPr>
        <w:t>;</w:t>
      </w:r>
    </w:p>
    <w:p w14:paraId="4C6AE18A" w14:textId="77777777" w:rsidR="00F2456E" w:rsidRPr="004543EF" w:rsidRDefault="004543EF" w:rsidP="00F2456E">
      <w:pPr>
        <w:pStyle w:val="a7"/>
        <w:numPr>
          <w:ilvl w:val="0"/>
          <w:numId w:val="8"/>
        </w:numPr>
        <w:spacing w:after="0"/>
        <w:jc w:val="both"/>
        <w:rPr>
          <w:b/>
          <w:color w:val="000000" w:themeColor="text1"/>
          <w:lang w:val="en-US"/>
        </w:rPr>
      </w:pPr>
      <w:r w:rsidRPr="004543EF">
        <w:rPr>
          <w:rStyle w:val="s1"/>
          <w:b w:val="0"/>
          <w:bCs w:val="0"/>
          <w:color w:val="000000" w:themeColor="text1"/>
          <w:lang w:val="en-US"/>
        </w:rPr>
        <w:t xml:space="preserve">Rules </w:t>
      </w:r>
      <w:r>
        <w:rPr>
          <w:rStyle w:val="s1"/>
          <w:b w:val="0"/>
          <w:bCs w:val="0"/>
          <w:color w:val="000000" w:themeColor="text1"/>
          <w:lang w:val="en-US"/>
        </w:rPr>
        <w:t>for</w:t>
      </w:r>
      <w:r w:rsidRPr="004543EF">
        <w:rPr>
          <w:rStyle w:val="s1"/>
          <w:b w:val="0"/>
          <w:bCs w:val="0"/>
          <w:color w:val="000000" w:themeColor="text1"/>
          <w:lang w:val="en-US"/>
        </w:rPr>
        <w:t xml:space="preserve"> </w:t>
      </w:r>
      <w:r>
        <w:rPr>
          <w:rStyle w:val="s1"/>
          <w:b w:val="0"/>
          <w:bCs w:val="0"/>
          <w:color w:val="000000" w:themeColor="text1"/>
          <w:lang w:val="en-US"/>
        </w:rPr>
        <w:t>F</w:t>
      </w:r>
      <w:r w:rsidRPr="004543EF">
        <w:rPr>
          <w:rStyle w:val="s1"/>
          <w:b w:val="0"/>
          <w:bCs w:val="0"/>
          <w:color w:val="000000" w:themeColor="text1"/>
          <w:lang w:val="en-US"/>
        </w:rPr>
        <w:t xml:space="preserve">ormation of </w:t>
      </w:r>
      <w:r>
        <w:rPr>
          <w:rStyle w:val="s1"/>
          <w:b w:val="0"/>
          <w:bCs w:val="0"/>
          <w:color w:val="000000" w:themeColor="text1"/>
          <w:lang w:val="en-US"/>
        </w:rPr>
        <w:t>R</w:t>
      </w:r>
      <w:r w:rsidRPr="004543EF">
        <w:rPr>
          <w:rStyle w:val="s1"/>
          <w:b w:val="0"/>
          <w:bCs w:val="0"/>
          <w:color w:val="000000" w:themeColor="text1"/>
          <w:lang w:val="en-US"/>
        </w:rPr>
        <w:t xml:space="preserve">isk </w:t>
      </w:r>
      <w:r>
        <w:rPr>
          <w:rStyle w:val="s1"/>
          <w:b w:val="0"/>
          <w:bCs w:val="0"/>
          <w:color w:val="000000" w:themeColor="text1"/>
          <w:lang w:val="en-US"/>
        </w:rPr>
        <w:t>M</w:t>
      </w:r>
      <w:r w:rsidRPr="004543EF">
        <w:rPr>
          <w:rStyle w:val="s1"/>
          <w:b w:val="0"/>
          <w:bCs w:val="0"/>
          <w:color w:val="000000" w:themeColor="text1"/>
          <w:lang w:val="en-US"/>
        </w:rPr>
        <w:t xml:space="preserve">anagement and </w:t>
      </w:r>
      <w:r>
        <w:rPr>
          <w:rStyle w:val="s1"/>
          <w:b w:val="0"/>
          <w:bCs w:val="0"/>
          <w:color w:val="000000" w:themeColor="text1"/>
          <w:lang w:val="en-US"/>
        </w:rPr>
        <w:t>I</w:t>
      </w:r>
      <w:r w:rsidRPr="004543EF">
        <w:rPr>
          <w:rStyle w:val="s1"/>
          <w:b w:val="0"/>
          <w:bCs w:val="0"/>
          <w:color w:val="000000" w:themeColor="text1"/>
          <w:lang w:val="en-US"/>
        </w:rPr>
        <w:t xml:space="preserve">nternal </w:t>
      </w:r>
      <w:r>
        <w:rPr>
          <w:rStyle w:val="s1"/>
          <w:b w:val="0"/>
          <w:bCs w:val="0"/>
          <w:color w:val="000000" w:themeColor="text1"/>
          <w:lang w:val="en-US"/>
        </w:rPr>
        <w:t>C</w:t>
      </w:r>
      <w:r w:rsidRPr="004543EF">
        <w:rPr>
          <w:rStyle w:val="s1"/>
          <w:b w:val="0"/>
          <w:bCs w:val="0"/>
          <w:color w:val="000000" w:themeColor="text1"/>
          <w:lang w:val="en-US"/>
        </w:rPr>
        <w:t xml:space="preserve">ontrol </w:t>
      </w:r>
      <w:r>
        <w:rPr>
          <w:rStyle w:val="s1"/>
          <w:b w:val="0"/>
          <w:bCs w:val="0"/>
          <w:color w:val="000000" w:themeColor="text1"/>
          <w:lang w:val="en-US"/>
        </w:rPr>
        <w:t>S</w:t>
      </w:r>
      <w:r w:rsidRPr="004543EF">
        <w:rPr>
          <w:rStyle w:val="s1"/>
          <w:b w:val="0"/>
          <w:bCs w:val="0"/>
          <w:color w:val="000000" w:themeColor="text1"/>
          <w:lang w:val="en-US"/>
        </w:rPr>
        <w:t xml:space="preserve">ystem for </w:t>
      </w:r>
      <w:r>
        <w:rPr>
          <w:rStyle w:val="s1"/>
          <w:b w:val="0"/>
          <w:bCs w:val="0"/>
          <w:color w:val="000000" w:themeColor="text1"/>
          <w:lang w:val="en-US"/>
        </w:rPr>
        <w:t>S</w:t>
      </w:r>
      <w:r w:rsidRPr="004543EF">
        <w:rPr>
          <w:rStyle w:val="s1"/>
          <w:b w:val="0"/>
          <w:bCs w:val="0"/>
          <w:color w:val="000000" w:themeColor="text1"/>
          <w:lang w:val="en-US"/>
        </w:rPr>
        <w:t>econd-</w:t>
      </w:r>
      <w:r>
        <w:rPr>
          <w:rStyle w:val="s1"/>
          <w:b w:val="0"/>
          <w:bCs w:val="0"/>
          <w:color w:val="000000" w:themeColor="text1"/>
          <w:lang w:val="en-US"/>
        </w:rPr>
        <w:t>T</w:t>
      </w:r>
      <w:r w:rsidRPr="004543EF">
        <w:rPr>
          <w:rStyle w:val="s1"/>
          <w:b w:val="0"/>
          <w:bCs w:val="0"/>
          <w:color w:val="000000" w:themeColor="text1"/>
          <w:lang w:val="en-US"/>
        </w:rPr>
        <w:t xml:space="preserve">ier </w:t>
      </w:r>
      <w:r>
        <w:rPr>
          <w:rStyle w:val="s1"/>
          <w:b w:val="0"/>
          <w:bCs w:val="0"/>
          <w:color w:val="000000" w:themeColor="text1"/>
          <w:lang w:val="en-US"/>
        </w:rPr>
        <w:t>B</w:t>
      </w:r>
      <w:r w:rsidRPr="004543EF">
        <w:rPr>
          <w:rStyle w:val="s1"/>
          <w:b w:val="0"/>
          <w:bCs w:val="0"/>
          <w:color w:val="000000" w:themeColor="text1"/>
          <w:lang w:val="en-US"/>
        </w:rPr>
        <w:t xml:space="preserve">anks, </w:t>
      </w:r>
      <w:r>
        <w:rPr>
          <w:rStyle w:val="s1"/>
          <w:b w:val="0"/>
          <w:bCs w:val="0"/>
          <w:color w:val="000000" w:themeColor="text1"/>
          <w:lang w:val="en-US"/>
        </w:rPr>
        <w:t>B</w:t>
      </w:r>
      <w:r w:rsidRPr="004543EF">
        <w:rPr>
          <w:rStyle w:val="s1"/>
          <w:b w:val="0"/>
          <w:bCs w:val="0"/>
          <w:color w:val="000000" w:themeColor="text1"/>
          <w:lang w:val="en-US"/>
        </w:rPr>
        <w:t xml:space="preserve">ranches of </w:t>
      </w:r>
      <w:r>
        <w:rPr>
          <w:rStyle w:val="s1"/>
          <w:b w:val="0"/>
          <w:bCs w:val="0"/>
          <w:color w:val="000000" w:themeColor="text1"/>
          <w:lang w:val="en-US"/>
        </w:rPr>
        <w:t>N</w:t>
      </w:r>
      <w:r w:rsidRPr="004543EF">
        <w:rPr>
          <w:rStyle w:val="s1"/>
          <w:b w:val="0"/>
          <w:bCs w:val="0"/>
          <w:color w:val="000000" w:themeColor="text1"/>
          <w:lang w:val="en-US"/>
        </w:rPr>
        <w:t>on-</w:t>
      </w:r>
      <w:r>
        <w:rPr>
          <w:rStyle w:val="s1"/>
          <w:b w:val="0"/>
          <w:bCs w:val="0"/>
          <w:color w:val="000000" w:themeColor="text1"/>
          <w:lang w:val="en-US"/>
        </w:rPr>
        <w:t>R</w:t>
      </w:r>
      <w:r w:rsidRPr="004543EF">
        <w:rPr>
          <w:rStyle w:val="s1"/>
          <w:b w:val="0"/>
          <w:bCs w:val="0"/>
          <w:color w:val="000000" w:themeColor="text1"/>
          <w:lang w:val="en-US"/>
        </w:rPr>
        <w:t xml:space="preserve">esident </w:t>
      </w:r>
      <w:r>
        <w:rPr>
          <w:rStyle w:val="s1"/>
          <w:b w:val="0"/>
          <w:bCs w:val="0"/>
          <w:color w:val="000000" w:themeColor="text1"/>
          <w:lang w:val="en-US"/>
        </w:rPr>
        <w:t>B</w:t>
      </w:r>
      <w:r w:rsidRPr="004543EF">
        <w:rPr>
          <w:rStyle w:val="s1"/>
          <w:b w:val="0"/>
          <w:bCs w:val="0"/>
          <w:color w:val="000000" w:themeColor="text1"/>
          <w:lang w:val="en-US"/>
        </w:rPr>
        <w:t xml:space="preserve">anks of the Republic of Kazakhstan </w:t>
      </w:r>
      <w:r>
        <w:rPr>
          <w:rStyle w:val="s1"/>
          <w:b w:val="0"/>
          <w:bCs w:val="0"/>
          <w:color w:val="000000" w:themeColor="text1"/>
          <w:lang w:val="en-US"/>
        </w:rPr>
        <w:t>as</w:t>
      </w:r>
      <w:r w:rsidRPr="004543EF">
        <w:rPr>
          <w:rStyle w:val="s1"/>
          <w:b w:val="0"/>
          <w:bCs w:val="0"/>
          <w:color w:val="000000" w:themeColor="text1"/>
          <w:lang w:val="en-US"/>
        </w:rPr>
        <w:t xml:space="preserve"> approved by Resolution of the Board of the National Bank of the Republic of Kazakhstan No. 188 dated 12 November 2019</w:t>
      </w:r>
      <w:r w:rsidR="00F2456E" w:rsidRPr="004543EF">
        <w:rPr>
          <w:rStyle w:val="s1"/>
          <w:b w:val="0"/>
          <w:bCs w:val="0"/>
          <w:color w:val="000000" w:themeColor="text1"/>
          <w:lang w:val="en-US"/>
        </w:rPr>
        <w:t>,</w:t>
      </w:r>
    </w:p>
    <w:p w14:paraId="3B5B438C" w14:textId="77777777" w:rsidR="00F2456E" w:rsidRPr="004543EF" w:rsidRDefault="004543EF" w:rsidP="00F2456E">
      <w:pPr>
        <w:spacing w:after="0"/>
        <w:jc w:val="both"/>
        <w:rPr>
          <w:lang w:val="en-US"/>
        </w:rPr>
      </w:pPr>
      <w:r w:rsidRPr="00442FA1">
        <w:rPr>
          <w:lang w:val="kk-KZ"/>
        </w:rPr>
        <w:t xml:space="preserve">and takes into account a number of international sustainable development </w:t>
      </w:r>
      <w:r>
        <w:rPr>
          <w:lang w:val="kk-KZ"/>
        </w:rPr>
        <w:t>principles and documents</w:t>
      </w:r>
      <w:r w:rsidRPr="00442FA1">
        <w:rPr>
          <w:lang w:val="kk-KZ"/>
        </w:rPr>
        <w:t>, including but not limited to</w:t>
      </w:r>
      <w:r w:rsidR="00F2456E" w:rsidRPr="00FE6633">
        <w:rPr>
          <w:lang w:val="kk-KZ"/>
        </w:rPr>
        <w:t>:</w:t>
      </w:r>
    </w:p>
    <w:p w14:paraId="373B3896" w14:textId="77777777" w:rsidR="00F2456E" w:rsidRDefault="004543EF" w:rsidP="00F2456E">
      <w:pPr>
        <w:pStyle w:val="a7"/>
        <w:numPr>
          <w:ilvl w:val="0"/>
          <w:numId w:val="8"/>
        </w:numPr>
        <w:spacing w:after="0"/>
        <w:jc w:val="both"/>
        <w:rPr>
          <w:lang w:val="kk-KZ"/>
        </w:rPr>
      </w:pPr>
      <w:r w:rsidRPr="00442FA1">
        <w:rPr>
          <w:lang w:val="kk-KZ"/>
        </w:rPr>
        <w:t>Sustainable Development Goals developed by the UN General Assembly</w:t>
      </w:r>
      <w:r w:rsidR="00F2456E" w:rsidRPr="005347AE">
        <w:rPr>
          <w:lang w:val="kk-KZ"/>
        </w:rPr>
        <w:t>;</w:t>
      </w:r>
    </w:p>
    <w:p w14:paraId="75F6AD74" w14:textId="77777777" w:rsidR="00F2456E" w:rsidRPr="00FE6633" w:rsidRDefault="004543EF" w:rsidP="00F2456E">
      <w:pPr>
        <w:pStyle w:val="a7"/>
        <w:numPr>
          <w:ilvl w:val="0"/>
          <w:numId w:val="8"/>
        </w:numPr>
        <w:spacing w:after="0"/>
        <w:jc w:val="both"/>
        <w:rPr>
          <w:lang w:val="kk-KZ"/>
        </w:rPr>
      </w:pPr>
      <w:r>
        <w:rPr>
          <w:lang w:val="en-US"/>
        </w:rPr>
        <w:t>Principles</w:t>
      </w:r>
      <w:r w:rsidRPr="00846947">
        <w:rPr>
          <w:lang w:val="en-US"/>
        </w:rPr>
        <w:t xml:space="preserve"> </w:t>
      </w:r>
      <w:r>
        <w:rPr>
          <w:lang w:val="en-US"/>
        </w:rPr>
        <w:t>for</w:t>
      </w:r>
      <w:r w:rsidRPr="00846947">
        <w:rPr>
          <w:lang w:val="en-US"/>
        </w:rPr>
        <w:t xml:space="preserve"> </w:t>
      </w:r>
      <w:r>
        <w:rPr>
          <w:lang w:val="en-US"/>
        </w:rPr>
        <w:t>Responsible</w:t>
      </w:r>
      <w:r w:rsidRPr="00846947">
        <w:rPr>
          <w:lang w:val="en-US"/>
        </w:rPr>
        <w:t xml:space="preserve"> </w:t>
      </w:r>
      <w:r>
        <w:rPr>
          <w:lang w:val="en-US"/>
        </w:rPr>
        <w:t>Banking</w:t>
      </w:r>
      <w:r w:rsidRPr="00846947">
        <w:rPr>
          <w:lang w:val="en-US"/>
        </w:rPr>
        <w:t xml:space="preserve"> </w:t>
      </w:r>
      <w:r>
        <w:rPr>
          <w:lang w:val="en-US"/>
        </w:rPr>
        <w:t>developed</w:t>
      </w:r>
      <w:r w:rsidRPr="00846947">
        <w:rPr>
          <w:lang w:val="en-US"/>
        </w:rPr>
        <w:t xml:space="preserve"> </w:t>
      </w:r>
      <w:r>
        <w:rPr>
          <w:lang w:val="en-US"/>
        </w:rPr>
        <w:t>under</w:t>
      </w:r>
      <w:r w:rsidRPr="00846947">
        <w:rPr>
          <w:lang w:val="en-US"/>
        </w:rPr>
        <w:t xml:space="preserve"> </w:t>
      </w:r>
      <w:r>
        <w:rPr>
          <w:lang w:val="en-US"/>
        </w:rPr>
        <w:t xml:space="preserve">the </w:t>
      </w:r>
      <w:r w:rsidRPr="00846947">
        <w:rPr>
          <w:lang w:val="en-US"/>
        </w:rPr>
        <w:t>UNEP FI</w:t>
      </w:r>
      <w:r w:rsidR="00F2456E" w:rsidRPr="004543EF">
        <w:rPr>
          <w:lang w:val="en-US"/>
        </w:rPr>
        <w:t>;</w:t>
      </w:r>
    </w:p>
    <w:p w14:paraId="1369289D" w14:textId="77777777" w:rsidR="00F2456E" w:rsidRPr="00FE6633" w:rsidRDefault="004543EF" w:rsidP="00F2456E">
      <w:pPr>
        <w:pStyle w:val="a7"/>
        <w:numPr>
          <w:ilvl w:val="0"/>
          <w:numId w:val="8"/>
        </w:numPr>
        <w:jc w:val="both"/>
        <w:rPr>
          <w:lang w:val="kk-KZ"/>
        </w:rPr>
      </w:pPr>
      <w:r w:rsidRPr="00442FA1">
        <w:rPr>
          <w:lang w:val="kk-KZ"/>
        </w:rPr>
        <w:t>E</w:t>
      </w:r>
      <w:r>
        <w:rPr>
          <w:lang w:val="en-US"/>
        </w:rPr>
        <w:t>U</w:t>
      </w:r>
      <w:r w:rsidRPr="00442FA1">
        <w:rPr>
          <w:lang w:val="kk-KZ"/>
        </w:rPr>
        <w:t xml:space="preserve"> Taxonomy for Sustainable Activities</w:t>
      </w:r>
      <w:r w:rsidR="00F2456E" w:rsidRPr="004543EF">
        <w:rPr>
          <w:lang w:val="en-US"/>
        </w:rPr>
        <w:t>;</w:t>
      </w:r>
    </w:p>
    <w:p w14:paraId="4447D10C" w14:textId="77777777" w:rsidR="00F2456E" w:rsidRPr="00FE6633" w:rsidRDefault="004543EF" w:rsidP="00F2456E">
      <w:pPr>
        <w:pStyle w:val="a7"/>
        <w:numPr>
          <w:ilvl w:val="0"/>
          <w:numId w:val="8"/>
        </w:numPr>
        <w:jc w:val="both"/>
        <w:rPr>
          <w:lang w:val="kk-KZ"/>
        </w:rPr>
      </w:pPr>
      <w:r w:rsidRPr="00442FA1">
        <w:rPr>
          <w:lang w:val="kk-KZ"/>
        </w:rPr>
        <w:t>I</w:t>
      </w:r>
      <w:r>
        <w:rPr>
          <w:lang w:val="kk-KZ"/>
        </w:rPr>
        <w:t>nternational Capital Market</w:t>
      </w:r>
      <w:r w:rsidRPr="00442FA1">
        <w:rPr>
          <w:lang w:val="kk-KZ"/>
        </w:rPr>
        <w:t xml:space="preserve"> Association (ICMA) Taxonomy fo</w:t>
      </w:r>
      <w:r>
        <w:rPr>
          <w:lang w:val="en-US"/>
        </w:rPr>
        <w:t xml:space="preserve">r </w:t>
      </w:r>
      <w:r w:rsidRPr="00442FA1">
        <w:rPr>
          <w:lang w:val="kk-KZ"/>
        </w:rPr>
        <w:t>Green Projects</w:t>
      </w:r>
      <w:r w:rsidR="00F2456E" w:rsidRPr="004543EF">
        <w:rPr>
          <w:lang w:val="en-US"/>
        </w:rPr>
        <w:t>.</w:t>
      </w:r>
    </w:p>
    <w:p w14:paraId="122B942D" w14:textId="77777777" w:rsidR="00F2456E" w:rsidRDefault="004543EF" w:rsidP="00F2456E">
      <w:pPr>
        <w:pStyle w:val="a7"/>
        <w:numPr>
          <w:ilvl w:val="0"/>
          <w:numId w:val="1"/>
        </w:numPr>
        <w:ind w:left="0" w:firstLine="0"/>
        <w:jc w:val="both"/>
        <w:rPr>
          <w:lang w:val="kk-KZ"/>
        </w:rPr>
      </w:pPr>
      <w:r w:rsidRPr="00442FA1">
        <w:rPr>
          <w:lang w:val="kk-KZ"/>
        </w:rPr>
        <w:t>The Policy shall apply to the Bank employees (in accordance with their functions), its structural subdivision</w:t>
      </w:r>
      <w:r w:rsidRPr="004543EF">
        <w:rPr>
          <w:lang w:val="kk-KZ"/>
        </w:rPr>
        <w:t>s</w:t>
      </w:r>
      <w:r w:rsidRPr="00442FA1">
        <w:rPr>
          <w:lang w:val="kk-KZ"/>
        </w:rPr>
        <w:t xml:space="preserve"> and branches involved in th</w:t>
      </w:r>
      <w:r>
        <w:rPr>
          <w:lang w:val="kk-KZ"/>
        </w:rPr>
        <w:t>e process of financing the Bank</w:t>
      </w:r>
      <w:r w:rsidRPr="004543EF">
        <w:rPr>
          <w:lang w:val="kk-KZ"/>
        </w:rPr>
        <w:t>’</w:t>
      </w:r>
      <w:r w:rsidRPr="00442FA1">
        <w:rPr>
          <w:lang w:val="kk-KZ"/>
        </w:rPr>
        <w:t>s corporate customer</w:t>
      </w:r>
      <w:r w:rsidRPr="004543EF">
        <w:rPr>
          <w:lang w:val="kk-KZ"/>
        </w:rPr>
        <w:t>s</w:t>
      </w:r>
      <w:r w:rsidR="00F2456E" w:rsidRPr="004543EF">
        <w:rPr>
          <w:lang w:val="kk-KZ"/>
        </w:rPr>
        <w:t xml:space="preserve">. </w:t>
      </w:r>
    </w:p>
    <w:p w14:paraId="2CE03B85" w14:textId="77777777" w:rsidR="00F2456E" w:rsidRPr="003A48E7" w:rsidRDefault="004543EF" w:rsidP="00F2456E">
      <w:pPr>
        <w:pStyle w:val="a7"/>
        <w:numPr>
          <w:ilvl w:val="0"/>
          <w:numId w:val="1"/>
        </w:numPr>
        <w:ind w:left="0" w:firstLine="0"/>
        <w:jc w:val="both"/>
        <w:rPr>
          <w:lang w:val="kk-KZ"/>
        </w:rPr>
      </w:pPr>
      <w:r w:rsidRPr="00442FA1">
        <w:rPr>
          <w:lang w:val="kk-KZ"/>
        </w:rPr>
        <w:t>The Policy is a public</w:t>
      </w:r>
      <w:r>
        <w:rPr>
          <w:lang w:val="kk-KZ"/>
        </w:rPr>
        <w:t xml:space="preserve"> document available on the Bank</w:t>
      </w:r>
      <w:r>
        <w:rPr>
          <w:lang w:val="en-US"/>
        </w:rPr>
        <w:t>’</w:t>
      </w:r>
      <w:r w:rsidRPr="00442FA1">
        <w:rPr>
          <w:lang w:val="kk-KZ"/>
        </w:rPr>
        <w:t>s information resources</w:t>
      </w:r>
      <w:r w:rsidR="00F2456E" w:rsidRPr="003A48E7">
        <w:rPr>
          <w:lang w:val="kk-KZ"/>
        </w:rPr>
        <w:t>.</w:t>
      </w:r>
    </w:p>
    <w:p w14:paraId="3158277F" w14:textId="77777777" w:rsidR="00F2456E" w:rsidRPr="000E6DAE" w:rsidRDefault="004543EF" w:rsidP="00F2456E">
      <w:pPr>
        <w:pStyle w:val="1"/>
        <w:rPr>
          <w:color w:val="auto"/>
          <w:lang w:val="kk-KZ"/>
        </w:rPr>
      </w:pPr>
      <w:bookmarkStart w:id="8" w:name="_Toc136446378"/>
      <w:bookmarkStart w:id="9" w:name="_Toc139019040"/>
      <w:bookmarkStart w:id="10" w:name="_Toc139290501"/>
      <w:bookmarkStart w:id="11" w:name="_Toc139473417"/>
      <w:bookmarkStart w:id="12" w:name="_Toc199501406"/>
      <w:r>
        <w:rPr>
          <w:color w:val="auto"/>
          <w:lang w:val="en-US"/>
        </w:rPr>
        <w:t>Chapter</w:t>
      </w:r>
      <w:r w:rsidR="00F2456E">
        <w:rPr>
          <w:color w:val="auto"/>
          <w:lang w:val="kk-KZ"/>
        </w:rPr>
        <w:t xml:space="preserve"> 2</w:t>
      </w:r>
      <w:r w:rsidR="00F2456E" w:rsidRPr="000E6DAE">
        <w:rPr>
          <w:color w:val="auto"/>
          <w:lang w:val="kk-KZ"/>
        </w:rPr>
        <w:t xml:space="preserve">. </w:t>
      </w:r>
      <w:r>
        <w:rPr>
          <w:color w:val="auto"/>
          <w:lang w:val="en-US"/>
        </w:rPr>
        <w:t>Key</w:t>
      </w:r>
      <w:r w:rsidRPr="004543EF">
        <w:rPr>
          <w:color w:val="auto"/>
          <w:lang w:val="en-US"/>
        </w:rPr>
        <w:t xml:space="preserve"> </w:t>
      </w:r>
      <w:r>
        <w:rPr>
          <w:color w:val="auto"/>
          <w:lang w:val="en-US"/>
        </w:rPr>
        <w:t>Sustainable</w:t>
      </w:r>
      <w:r w:rsidRPr="004543EF">
        <w:rPr>
          <w:color w:val="auto"/>
          <w:lang w:val="en-US"/>
        </w:rPr>
        <w:t xml:space="preserve"> </w:t>
      </w:r>
      <w:r>
        <w:rPr>
          <w:color w:val="auto"/>
          <w:lang w:val="en-US"/>
        </w:rPr>
        <w:t>Finance</w:t>
      </w:r>
      <w:r w:rsidRPr="004543EF">
        <w:rPr>
          <w:color w:val="auto"/>
          <w:lang w:val="en-US"/>
        </w:rPr>
        <w:t xml:space="preserve"> </w:t>
      </w:r>
      <w:r w:rsidR="002C0503">
        <w:rPr>
          <w:color w:val="auto"/>
          <w:lang w:val="en-US"/>
        </w:rPr>
        <w:t>Goals</w:t>
      </w:r>
      <w:r w:rsidRPr="004543EF">
        <w:rPr>
          <w:color w:val="auto"/>
          <w:lang w:val="en-US"/>
        </w:rPr>
        <w:t xml:space="preserve"> </w:t>
      </w:r>
      <w:r>
        <w:rPr>
          <w:color w:val="auto"/>
          <w:lang w:val="en-US"/>
        </w:rPr>
        <w:t>and</w:t>
      </w:r>
      <w:r w:rsidRPr="004543EF">
        <w:rPr>
          <w:color w:val="auto"/>
          <w:lang w:val="en-US"/>
        </w:rPr>
        <w:t xml:space="preserve"> </w:t>
      </w:r>
      <w:r>
        <w:rPr>
          <w:color w:val="auto"/>
          <w:lang w:val="en-US"/>
        </w:rPr>
        <w:t>Objectives</w:t>
      </w:r>
      <w:bookmarkEnd w:id="8"/>
      <w:bookmarkEnd w:id="9"/>
      <w:bookmarkEnd w:id="10"/>
      <w:bookmarkEnd w:id="11"/>
      <w:bookmarkEnd w:id="12"/>
      <w:r w:rsidR="00F2456E" w:rsidRPr="000E6DAE">
        <w:rPr>
          <w:color w:val="auto"/>
          <w:lang w:val="kk-KZ"/>
        </w:rPr>
        <w:t xml:space="preserve"> </w:t>
      </w:r>
    </w:p>
    <w:p w14:paraId="1DF0063C" w14:textId="188AC92A" w:rsidR="00F2456E" w:rsidRPr="000E6DAE" w:rsidRDefault="002C0503" w:rsidP="00F2456E">
      <w:pPr>
        <w:pStyle w:val="a7"/>
        <w:numPr>
          <w:ilvl w:val="0"/>
          <w:numId w:val="1"/>
        </w:numPr>
        <w:ind w:left="0" w:firstLine="0"/>
        <w:jc w:val="both"/>
        <w:rPr>
          <w:lang w:val="kk-KZ"/>
        </w:rPr>
      </w:pPr>
      <w:r>
        <w:rPr>
          <w:rFonts w:cs="Times New Roman"/>
          <w:lang w:val="en-US"/>
        </w:rPr>
        <w:t>A</w:t>
      </w:r>
      <w:r w:rsidRPr="00442FA1">
        <w:rPr>
          <w:rFonts w:cs="Times New Roman"/>
          <w:lang w:val="kk-KZ"/>
        </w:rPr>
        <w:t xml:space="preserve">s one of the largest banks in the Republic of Kazakhstan, </w:t>
      </w:r>
      <w:r>
        <w:rPr>
          <w:rFonts w:cs="Times New Roman"/>
          <w:lang w:val="en-US"/>
        </w:rPr>
        <w:t>t</w:t>
      </w:r>
      <w:r w:rsidRPr="00442FA1">
        <w:rPr>
          <w:rFonts w:cs="Times New Roman"/>
          <w:lang w:val="kk-KZ"/>
        </w:rPr>
        <w:t>he Bank</w:t>
      </w:r>
      <w:r>
        <w:rPr>
          <w:rFonts w:cs="Times New Roman"/>
          <w:lang w:val="en-US"/>
        </w:rPr>
        <w:t xml:space="preserve"> shall strive</w:t>
      </w:r>
      <w:r w:rsidRPr="00442FA1">
        <w:rPr>
          <w:rFonts w:cs="Times New Roman"/>
          <w:lang w:val="kk-KZ"/>
        </w:rPr>
        <w:t xml:space="preserve"> to act in the best long-term interests of society and the state and to make </w:t>
      </w:r>
      <w:r>
        <w:rPr>
          <w:rFonts w:cs="Times New Roman"/>
          <w:lang w:val="en-US"/>
        </w:rPr>
        <w:t xml:space="preserve">a </w:t>
      </w:r>
      <w:r w:rsidRPr="00442FA1">
        <w:rPr>
          <w:rFonts w:cs="Times New Roman"/>
          <w:lang w:val="kk-KZ"/>
        </w:rPr>
        <w:t xml:space="preserve">positive contribution to improving the quality of life of </w:t>
      </w:r>
      <w:r>
        <w:rPr>
          <w:rFonts w:cs="Times New Roman"/>
          <w:lang w:val="en-US"/>
        </w:rPr>
        <w:t>the population</w:t>
      </w:r>
      <w:r w:rsidRPr="00442FA1">
        <w:rPr>
          <w:rFonts w:cs="Times New Roman"/>
          <w:lang w:val="kk-KZ"/>
        </w:rPr>
        <w:t>, socio-economic development</w:t>
      </w:r>
      <w:r w:rsidR="000234B8">
        <w:rPr>
          <w:rFonts w:cs="Times New Roman"/>
          <w:lang w:val="en-US"/>
        </w:rPr>
        <w:t>,</w:t>
      </w:r>
      <w:r w:rsidRPr="00442FA1">
        <w:rPr>
          <w:rFonts w:cs="Times New Roman"/>
          <w:lang w:val="kk-KZ"/>
        </w:rPr>
        <w:t xml:space="preserve"> and environmental sustainability of the state. The Bank has identified for itself key</w:t>
      </w:r>
      <w:r w:rsidRPr="002C0503">
        <w:rPr>
          <w:rFonts w:cs="Times New Roman"/>
          <w:lang w:val="en-US"/>
        </w:rPr>
        <w:t xml:space="preserve"> </w:t>
      </w:r>
      <w:r>
        <w:rPr>
          <w:rFonts w:cs="Times New Roman"/>
          <w:lang w:val="en-US"/>
        </w:rPr>
        <w:t>focus</w:t>
      </w:r>
      <w:r w:rsidRPr="002C0503">
        <w:rPr>
          <w:rFonts w:cs="Times New Roman"/>
          <w:lang w:val="en-US"/>
        </w:rPr>
        <w:t xml:space="preserve"> </w:t>
      </w:r>
      <w:r w:rsidRPr="00442FA1">
        <w:rPr>
          <w:rFonts w:cs="Times New Roman"/>
          <w:lang w:val="kk-KZ"/>
        </w:rPr>
        <w:t xml:space="preserve">areas in the field of </w:t>
      </w:r>
      <w:r>
        <w:rPr>
          <w:rFonts w:cs="Times New Roman"/>
          <w:lang w:val="en-US"/>
        </w:rPr>
        <w:t>sustainable</w:t>
      </w:r>
      <w:r w:rsidRPr="002C0503">
        <w:rPr>
          <w:rFonts w:cs="Times New Roman"/>
          <w:lang w:val="en-US"/>
        </w:rPr>
        <w:t xml:space="preserve"> </w:t>
      </w:r>
      <w:r>
        <w:rPr>
          <w:rFonts w:cs="Times New Roman"/>
          <w:lang w:val="en-US"/>
        </w:rPr>
        <w:t>finance</w:t>
      </w:r>
      <w:r w:rsidR="00F2456E" w:rsidRPr="000E6DAE">
        <w:rPr>
          <w:lang w:val="kk-KZ"/>
        </w:rPr>
        <w:t>:</w:t>
      </w:r>
    </w:p>
    <w:p w14:paraId="1C2BF022" w14:textId="77777777" w:rsidR="00F2456E" w:rsidRDefault="002C0503" w:rsidP="00F2456E">
      <w:pPr>
        <w:pStyle w:val="a7"/>
        <w:numPr>
          <w:ilvl w:val="0"/>
          <w:numId w:val="8"/>
        </w:numPr>
        <w:spacing w:after="0"/>
        <w:ind w:left="709" w:hanging="283"/>
        <w:jc w:val="both"/>
        <w:rPr>
          <w:lang w:val="kk-KZ"/>
        </w:rPr>
      </w:pPr>
      <w:r w:rsidRPr="00115853">
        <w:rPr>
          <w:lang w:val="kk-KZ"/>
        </w:rPr>
        <w:t>ensuring comprehensive assessment of climate risks, and minimising their impact on the loan portfolio</w:t>
      </w:r>
      <w:r w:rsidR="00F2456E" w:rsidRPr="000E6DAE">
        <w:rPr>
          <w:lang w:val="kk-KZ"/>
        </w:rPr>
        <w:t>;</w:t>
      </w:r>
    </w:p>
    <w:p w14:paraId="5CA81500" w14:textId="77777777" w:rsidR="00F2456E" w:rsidRPr="005D05D5" w:rsidRDefault="002200C4" w:rsidP="00F2456E">
      <w:pPr>
        <w:pStyle w:val="a7"/>
        <w:numPr>
          <w:ilvl w:val="0"/>
          <w:numId w:val="8"/>
        </w:numPr>
        <w:spacing w:after="0"/>
        <w:ind w:left="709" w:hanging="283"/>
        <w:jc w:val="both"/>
        <w:rPr>
          <w:lang w:val="kk-KZ"/>
        </w:rPr>
      </w:pPr>
      <w:r>
        <w:rPr>
          <w:lang w:val="en-US"/>
        </w:rPr>
        <w:t>E</w:t>
      </w:r>
      <w:r w:rsidRPr="002200C4">
        <w:rPr>
          <w:lang w:val="en-US"/>
        </w:rPr>
        <w:t>&amp;</w:t>
      </w:r>
      <w:r>
        <w:rPr>
          <w:lang w:val="en-US"/>
        </w:rPr>
        <w:t>S</w:t>
      </w:r>
      <w:r w:rsidRPr="002200C4">
        <w:rPr>
          <w:lang w:val="en-US"/>
        </w:rPr>
        <w:t xml:space="preserve"> </w:t>
      </w:r>
      <w:r>
        <w:rPr>
          <w:lang w:val="en-US"/>
        </w:rPr>
        <w:t>due</w:t>
      </w:r>
      <w:r w:rsidRPr="002200C4">
        <w:rPr>
          <w:lang w:val="en-US"/>
        </w:rPr>
        <w:t xml:space="preserve"> </w:t>
      </w:r>
      <w:r>
        <w:rPr>
          <w:lang w:val="en-US"/>
        </w:rPr>
        <w:t>diligence</w:t>
      </w:r>
      <w:r w:rsidR="00F2456E" w:rsidRPr="00E94F9F">
        <w:rPr>
          <w:color w:val="000000" w:themeColor="text1"/>
          <w:lang w:val="kk-KZ"/>
        </w:rPr>
        <w:t xml:space="preserve"> </w:t>
      </w:r>
      <w:r w:rsidR="00F2456E" w:rsidRPr="002200C4">
        <w:rPr>
          <w:color w:val="000000" w:themeColor="text1"/>
          <w:lang w:val="en-US"/>
        </w:rPr>
        <w:t>(</w:t>
      </w:r>
      <w:r w:rsidR="00F2456E" w:rsidRPr="002200C4">
        <w:rPr>
          <w:rStyle w:val="s19"/>
          <w:color w:val="000000" w:themeColor="text1"/>
          <w:lang w:val="en-US"/>
        </w:rPr>
        <w:t>ESDD</w:t>
      </w:r>
      <w:r w:rsidR="00F2456E" w:rsidRPr="002200C4">
        <w:rPr>
          <w:color w:val="000000" w:themeColor="text1"/>
          <w:lang w:val="en-US"/>
        </w:rPr>
        <w:t xml:space="preserve">) </w:t>
      </w:r>
      <w:r w:rsidRPr="002200C4">
        <w:rPr>
          <w:color w:val="000000" w:themeColor="text1"/>
          <w:lang w:val="en-US"/>
        </w:rPr>
        <w:t>to minimi</w:t>
      </w:r>
      <w:r>
        <w:rPr>
          <w:color w:val="000000" w:themeColor="text1"/>
          <w:lang w:val="en-US"/>
        </w:rPr>
        <w:t>z</w:t>
      </w:r>
      <w:r w:rsidRPr="002200C4">
        <w:rPr>
          <w:color w:val="000000" w:themeColor="text1"/>
          <w:lang w:val="en-US"/>
        </w:rPr>
        <w:t>e potential liabilities and threats to the Bank when granting a loan</w:t>
      </w:r>
      <w:r w:rsidR="00F2456E" w:rsidRPr="002200C4">
        <w:rPr>
          <w:lang w:val="en-US"/>
        </w:rPr>
        <w:t>;</w:t>
      </w:r>
    </w:p>
    <w:p w14:paraId="373A9A3C" w14:textId="77777777" w:rsidR="00F2456E" w:rsidRPr="000E6DAE" w:rsidRDefault="002200C4" w:rsidP="00F2456E">
      <w:pPr>
        <w:pStyle w:val="a7"/>
        <w:numPr>
          <w:ilvl w:val="0"/>
          <w:numId w:val="8"/>
        </w:numPr>
        <w:spacing w:after="0"/>
        <w:ind w:left="709" w:hanging="283"/>
        <w:jc w:val="both"/>
        <w:rPr>
          <w:lang w:val="kk-KZ"/>
        </w:rPr>
      </w:pPr>
      <w:r w:rsidRPr="00115853">
        <w:rPr>
          <w:lang w:val="kk-KZ"/>
        </w:rPr>
        <w:t>provision of finance to activities and projects that h</w:t>
      </w:r>
      <w:r>
        <w:rPr>
          <w:lang w:val="kk-KZ"/>
        </w:rPr>
        <w:t>ave a positive impact on achiev</w:t>
      </w:r>
      <w:r w:rsidRPr="002200C4">
        <w:rPr>
          <w:lang w:val="kk-KZ"/>
        </w:rPr>
        <w:t xml:space="preserve">ing the </w:t>
      </w:r>
      <w:r w:rsidRPr="00115853">
        <w:rPr>
          <w:lang w:val="kk-KZ"/>
        </w:rPr>
        <w:t>sustainable development goals</w:t>
      </w:r>
      <w:r w:rsidR="00F2456E" w:rsidRPr="000E6DAE">
        <w:rPr>
          <w:lang w:val="kk-KZ"/>
        </w:rPr>
        <w:t>;</w:t>
      </w:r>
    </w:p>
    <w:p w14:paraId="5E3BC597" w14:textId="77777777" w:rsidR="00F2456E" w:rsidRPr="000E6DAE" w:rsidRDefault="00AD57CA" w:rsidP="00F2456E">
      <w:pPr>
        <w:pStyle w:val="a7"/>
        <w:numPr>
          <w:ilvl w:val="0"/>
          <w:numId w:val="8"/>
        </w:numPr>
        <w:spacing w:after="0"/>
        <w:ind w:left="709" w:hanging="283"/>
        <w:jc w:val="both"/>
        <w:rPr>
          <w:lang w:val="kk-KZ"/>
        </w:rPr>
      </w:pPr>
      <w:r w:rsidRPr="00115853">
        <w:rPr>
          <w:lang w:val="kk-KZ"/>
        </w:rPr>
        <w:t xml:space="preserve">gradual reduction of financing for activities and projects </w:t>
      </w:r>
      <w:r w:rsidRPr="00AD57CA">
        <w:rPr>
          <w:lang w:val="kk-KZ"/>
        </w:rPr>
        <w:t>that conflict with the achievement of sustainable development goals</w:t>
      </w:r>
      <w:r w:rsidR="00F2456E" w:rsidRPr="000E6DAE">
        <w:rPr>
          <w:lang w:val="kk-KZ"/>
        </w:rPr>
        <w:t>.</w:t>
      </w:r>
    </w:p>
    <w:p w14:paraId="36180ADF" w14:textId="77777777" w:rsidR="00F2456E" w:rsidRPr="000E6DAE" w:rsidRDefault="00AD57CA" w:rsidP="00F2456E">
      <w:pPr>
        <w:pStyle w:val="a7"/>
        <w:numPr>
          <w:ilvl w:val="0"/>
          <w:numId w:val="1"/>
        </w:numPr>
        <w:spacing w:after="0" w:line="240" w:lineRule="auto"/>
        <w:ind w:left="0" w:firstLine="0"/>
        <w:jc w:val="both"/>
        <w:rPr>
          <w:lang w:val="kk-KZ"/>
        </w:rPr>
      </w:pPr>
      <w:r w:rsidRPr="00115853">
        <w:rPr>
          <w:lang w:val="kk-KZ"/>
        </w:rPr>
        <w:t>T</w:t>
      </w:r>
      <w:r w:rsidRPr="00846947">
        <w:rPr>
          <w:lang w:val="kk-KZ"/>
        </w:rPr>
        <w:t xml:space="preserve">he Bank shall be guided by the following </w:t>
      </w:r>
      <w:r w:rsidRPr="00115853">
        <w:rPr>
          <w:lang w:val="kk-KZ"/>
        </w:rPr>
        <w:t xml:space="preserve">six responsible </w:t>
      </w:r>
      <w:r w:rsidRPr="00AD57CA">
        <w:rPr>
          <w:lang w:val="kk-KZ"/>
        </w:rPr>
        <w:t>investment</w:t>
      </w:r>
      <w:r w:rsidRPr="00846947">
        <w:rPr>
          <w:lang w:val="kk-KZ"/>
        </w:rPr>
        <w:t xml:space="preserve"> principles</w:t>
      </w:r>
      <w:r w:rsidRPr="00115853">
        <w:rPr>
          <w:lang w:val="kk-KZ"/>
        </w:rPr>
        <w:t xml:space="preserve"> i</w:t>
      </w:r>
      <w:r w:rsidRPr="00846947">
        <w:rPr>
          <w:lang w:val="kk-KZ"/>
        </w:rPr>
        <w:t xml:space="preserve">n </w:t>
      </w:r>
      <w:r>
        <w:rPr>
          <w:lang w:val="kk-KZ"/>
        </w:rPr>
        <w:t>its activities</w:t>
      </w:r>
      <w:r w:rsidR="00F2456E" w:rsidRPr="000E6DAE">
        <w:rPr>
          <w:lang w:val="kk-KZ"/>
        </w:rPr>
        <w:t>:</w:t>
      </w:r>
    </w:p>
    <w:p w14:paraId="5365DEC2"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incorporate ESG issues into investment analysis and decision-making processes</w:t>
      </w:r>
      <w:r w:rsidR="00F2456E" w:rsidRPr="000E6DAE">
        <w:rPr>
          <w:lang w:val="kk-KZ"/>
        </w:rPr>
        <w:t>;</w:t>
      </w:r>
    </w:p>
    <w:p w14:paraId="061F98D7"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 xml:space="preserve">incorporate ESG issues into the strategy and </w:t>
      </w:r>
      <w:r>
        <w:rPr>
          <w:lang w:val="en-US"/>
        </w:rPr>
        <w:t>practice</w:t>
      </w:r>
      <w:r w:rsidR="00F2456E" w:rsidRPr="000E6DAE">
        <w:rPr>
          <w:lang w:val="kk-KZ"/>
        </w:rPr>
        <w:t>;</w:t>
      </w:r>
    </w:p>
    <w:p w14:paraId="053713DA"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demand adequate disclosure of environmental, social and governance issues from investment recipients</w:t>
      </w:r>
      <w:r w:rsidR="00F2456E" w:rsidRPr="000E6DAE">
        <w:rPr>
          <w:lang w:val="kk-KZ"/>
        </w:rPr>
        <w:t>;</w:t>
      </w:r>
    </w:p>
    <w:p w14:paraId="2D0137F6"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promote the adoption and implementation of responsible financing principles within the investment sector</w:t>
      </w:r>
      <w:r w:rsidR="00F2456E" w:rsidRPr="000E6DAE">
        <w:rPr>
          <w:lang w:val="kk-KZ"/>
        </w:rPr>
        <w:t>;</w:t>
      </w:r>
    </w:p>
    <w:p w14:paraId="22CCA0D3"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 xml:space="preserve">improve the efficiency of </w:t>
      </w:r>
      <w:r>
        <w:rPr>
          <w:lang w:val="en-US"/>
        </w:rPr>
        <w:t xml:space="preserve">implementation </w:t>
      </w:r>
      <w:r>
        <w:rPr>
          <w:lang w:val="kk-KZ"/>
        </w:rPr>
        <w:t xml:space="preserve">of responsible </w:t>
      </w:r>
      <w:r>
        <w:rPr>
          <w:lang w:val="en-US"/>
        </w:rPr>
        <w:t xml:space="preserve">financing </w:t>
      </w:r>
      <w:r w:rsidRPr="00A87D77">
        <w:rPr>
          <w:lang w:val="kk-KZ"/>
        </w:rPr>
        <w:t>principles</w:t>
      </w:r>
      <w:r w:rsidR="00F2456E" w:rsidRPr="000E6DAE">
        <w:rPr>
          <w:lang w:val="kk-KZ"/>
        </w:rPr>
        <w:t>;</w:t>
      </w:r>
    </w:p>
    <w:p w14:paraId="1F428AEF" w14:textId="77777777" w:rsidR="00F2456E" w:rsidRPr="000E6DAE" w:rsidRDefault="00AD57CA" w:rsidP="00F2456E">
      <w:pPr>
        <w:pStyle w:val="a7"/>
        <w:numPr>
          <w:ilvl w:val="0"/>
          <w:numId w:val="2"/>
        </w:numPr>
        <w:tabs>
          <w:tab w:val="left" w:pos="851"/>
        </w:tabs>
        <w:spacing w:after="0" w:line="240" w:lineRule="auto"/>
        <w:ind w:left="709" w:hanging="283"/>
        <w:jc w:val="both"/>
        <w:rPr>
          <w:lang w:val="kk-KZ"/>
        </w:rPr>
      </w:pPr>
      <w:r w:rsidRPr="00A87D77">
        <w:rPr>
          <w:lang w:val="kk-KZ"/>
        </w:rPr>
        <w:t xml:space="preserve">report on activities and progress made in implementing the </w:t>
      </w:r>
      <w:r>
        <w:rPr>
          <w:lang w:val="en-US"/>
        </w:rPr>
        <w:t>sustainable</w:t>
      </w:r>
      <w:r>
        <w:rPr>
          <w:lang w:val="kk-KZ"/>
        </w:rPr>
        <w:t xml:space="preserve"> </w:t>
      </w:r>
      <w:r w:rsidRPr="00A87D77">
        <w:rPr>
          <w:lang w:val="kk-KZ"/>
        </w:rPr>
        <w:t>financ</w:t>
      </w:r>
      <w:r>
        <w:rPr>
          <w:lang w:val="en-US"/>
        </w:rPr>
        <w:t>e</w:t>
      </w:r>
      <w:r w:rsidRPr="00A87D77">
        <w:rPr>
          <w:lang w:val="kk-KZ"/>
        </w:rPr>
        <w:t xml:space="preserve"> principles</w:t>
      </w:r>
      <w:r w:rsidR="00F2456E" w:rsidRPr="000E6DAE">
        <w:rPr>
          <w:lang w:val="kk-KZ"/>
        </w:rPr>
        <w:t>.</w:t>
      </w:r>
    </w:p>
    <w:p w14:paraId="56D8A2DA" w14:textId="77777777" w:rsidR="00F2456E" w:rsidRPr="000E6DAE" w:rsidRDefault="00F2456E" w:rsidP="00F2456E">
      <w:pPr>
        <w:pStyle w:val="a7"/>
        <w:numPr>
          <w:ilvl w:val="0"/>
          <w:numId w:val="3"/>
        </w:numPr>
        <w:ind w:left="0" w:firstLine="0"/>
        <w:rPr>
          <w:vanish/>
        </w:rPr>
      </w:pPr>
    </w:p>
    <w:p w14:paraId="4FEC6F98" w14:textId="77777777" w:rsidR="00F2456E" w:rsidRPr="000E6DAE" w:rsidRDefault="00F2456E" w:rsidP="00F2456E">
      <w:pPr>
        <w:pStyle w:val="a7"/>
        <w:numPr>
          <w:ilvl w:val="0"/>
          <w:numId w:val="3"/>
        </w:numPr>
        <w:ind w:left="0" w:firstLine="0"/>
        <w:rPr>
          <w:vanish/>
        </w:rPr>
      </w:pPr>
    </w:p>
    <w:p w14:paraId="3C81F15C" w14:textId="77777777" w:rsidR="00F2456E" w:rsidRPr="000E6DAE" w:rsidRDefault="00F2456E" w:rsidP="00F2456E">
      <w:pPr>
        <w:pStyle w:val="a7"/>
        <w:numPr>
          <w:ilvl w:val="0"/>
          <w:numId w:val="3"/>
        </w:numPr>
        <w:ind w:left="0" w:firstLine="0"/>
        <w:rPr>
          <w:vanish/>
        </w:rPr>
      </w:pPr>
    </w:p>
    <w:p w14:paraId="601539C6" w14:textId="77777777" w:rsidR="00F2456E" w:rsidRPr="000E6DAE" w:rsidRDefault="00F2456E" w:rsidP="00F2456E">
      <w:pPr>
        <w:pStyle w:val="a7"/>
        <w:numPr>
          <w:ilvl w:val="0"/>
          <w:numId w:val="3"/>
        </w:numPr>
        <w:ind w:left="0" w:firstLine="0"/>
        <w:rPr>
          <w:vanish/>
        </w:rPr>
      </w:pPr>
    </w:p>
    <w:p w14:paraId="29565B97" w14:textId="77777777" w:rsidR="00F2456E" w:rsidRPr="000E6DAE" w:rsidRDefault="00F2456E" w:rsidP="00F2456E">
      <w:pPr>
        <w:pStyle w:val="a7"/>
        <w:numPr>
          <w:ilvl w:val="0"/>
          <w:numId w:val="3"/>
        </w:numPr>
        <w:ind w:left="0" w:firstLine="0"/>
        <w:rPr>
          <w:vanish/>
        </w:rPr>
      </w:pPr>
    </w:p>
    <w:p w14:paraId="71047097" w14:textId="77777777" w:rsidR="00F2456E" w:rsidRPr="00213FB0" w:rsidRDefault="00AD57CA" w:rsidP="00F2456E">
      <w:pPr>
        <w:pStyle w:val="a7"/>
        <w:numPr>
          <w:ilvl w:val="0"/>
          <w:numId w:val="1"/>
        </w:numPr>
        <w:spacing w:after="0" w:line="240" w:lineRule="auto"/>
        <w:ind w:left="0" w:firstLine="0"/>
        <w:jc w:val="both"/>
        <w:rPr>
          <w:lang w:val="en-US"/>
        </w:rPr>
      </w:pPr>
      <w:r w:rsidRPr="00C43310">
        <w:rPr>
          <w:lang w:val="en-US"/>
        </w:rPr>
        <w:t>The</w:t>
      </w:r>
      <w:r w:rsidRPr="00213FB0">
        <w:rPr>
          <w:lang w:val="en-US"/>
        </w:rPr>
        <w:t xml:space="preserve"> </w:t>
      </w:r>
      <w:r w:rsidRPr="00C43310">
        <w:rPr>
          <w:lang w:val="en-US"/>
        </w:rPr>
        <w:t>Bank</w:t>
      </w:r>
      <w:r w:rsidRPr="00213FB0">
        <w:rPr>
          <w:lang w:val="en-US"/>
        </w:rPr>
        <w:t xml:space="preserve"> </w:t>
      </w:r>
      <w:r>
        <w:rPr>
          <w:lang w:val="en-US"/>
        </w:rPr>
        <w:t>shall</w:t>
      </w:r>
      <w:r w:rsidRPr="00213FB0">
        <w:rPr>
          <w:lang w:val="en-US"/>
        </w:rPr>
        <w:t xml:space="preserve"> </w:t>
      </w:r>
      <w:r>
        <w:rPr>
          <w:lang w:val="en-US"/>
        </w:rPr>
        <w:t>employ</w:t>
      </w:r>
      <w:r w:rsidRPr="00213FB0">
        <w:rPr>
          <w:lang w:val="en-US"/>
        </w:rPr>
        <w:t xml:space="preserve"> </w:t>
      </w:r>
      <w:r w:rsidRPr="00C43310">
        <w:rPr>
          <w:lang w:val="en-US"/>
        </w:rPr>
        <w:t>a</w:t>
      </w:r>
      <w:r w:rsidRPr="00213FB0">
        <w:rPr>
          <w:lang w:val="en-US"/>
        </w:rPr>
        <w:t xml:space="preserve"> </w:t>
      </w:r>
      <w:r w:rsidRPr="00C43310">
        <w:rPr>
          <w:lang w:val="en-US"/>
        </w:rPr>
        <w:t>comprehensive</w:t>
      </w:r>
      <w:r w:rsidRPr="00213FB0">
        <w:rPr>
          <w:lang w:val="en-US"/>
        </w:rPr>
        <w:t xml:space="preserve"> </w:t>
      </w:r>
      <w:r w:rsidRPr="00C43310">
        <w:rPr>
          <w:lang w:val="en-US"/>
        </w:rPr>
        <w:t>approach</w:t>
      </w:r>
      <w:r w:rsidRPr="00213FB0">
        <w:rPr>
          <w:lang w:val="en-US"/>
        </w:rPr>
        <w:t xml:space="preserve"> </w:t>
      </w:r>
      <w:r w:rsidRPr="00C43310">
        <w:rPr>
          <w:lang w:val="en-US"/>
        </w:rPr>
        <w:t>to</w:t>
      </w:r>
      <w:r w:rsidRPr="00213FB0">
        <w:rPr>
          <w:lang w:val="en-US"/>
        </w:rPr>
        <w:t xml:space="preserve"> </w:t>
      </w:r>
      <w:r w:rsidRPr="00C43310">
        <w:rPr>
          <w:lang w:val="en-US"/>
        </w:rPr>
        <w:t>achieve</w:t>
      </w:r>
      <w:r w:rsidRPr="00213FB0">
        <w:rPr>
          <w:lang w:val="en-US"/>
        </w:rPr>
        <w:t xml:space="preserve"> </w:t>
      </w:r>
      <w:r w:rsidRPr="00C43310">
        <w:rPr>
          <w:lang w:val="en-US"/>
        </w:rPr>
        <w:t>its</w:t>
      </w:r>
      <w:r w:rsidRPr="00213FB0">
        <w:rPr>
          <w:lang w:val="en-US"/>
        </w:rPr>
        <w:t xml:space="preserve"> </w:t>
      </w:r>
      <w:r>
        <w:rPr>
          <w:lang w:val="en-US"/>
        </w:rPr>
        <w:t>sustainable</w:t>
      </w:r>
      <w:r w:rsidRPr="00213FB0">
        <w:rPr>
          <w:lang w:val="en-US"/>
        </w:rPr>
        <w:t xml:space="preserve"> </w:t>
      </w:r>
      <w:r>
        <w:rPr>
          <w:lang w:val="en-US"/>
        </w:rPr>
        <w:t>finance</w:t>
      </w:r>
      <w:r w:rsidRPr="00213FB0">
        <w:rPr>
          <w:lang w:val="en-US"/>
        </w:rPr>
        <w:t xml:space="preserve"> </w:t>
      </w:r>
      <w:r w:rsidRPr="00C43310">
        <w:rPr>
          <w:lang w:val="en-US"/>
        </w:rPr>
        <w:t>goals</w:t>
      </w:r>
      <w:r w:rsidRPr="00213FB0">
        <w:rPr>
          <w:lang w:val="en-US"/>
        </w:rPr>
        <w:t xml:space="preserve"> </w:t>
      </w:r>
      <w:r w:rsidRPr="00C43310">
        <w:rPr>
          <w:lang w:val="en-US"/>
        </w:rPr>
        <w:t>by</w:t>
      </w:r>
      <w:r w:rsidRPr="00213FB0">
        <w:rPr>
          <w:lang w:val="en-US"/>
        </w:rPr>
        <w:t xml:space="preserve"> </w:t>
      </w:r>
      <w:r>
        <w:rPr>
          <w:lang w:val="en-US"/>
        </w:rPr>
        <w:t>phased</w:t>
      </w:r>
      <w:r w:rsidRPr="00213FB0">
        <w:rPr>
          <w:lang w:val="en-US"/>
        </w:rPr>
        <w:t xml:space="preserve"> </w:t>
      </w:r>
      <w:r>
        <w:rPr>
          <w:lang w:val="en-US"/>
        </w:rPr>
        <w:t>implementation</w:t>
      </w:r>
      <w:r w:rsidRPr="00213FB0">
        <w:rPr>
          <w:lang w:val="en-US"/>
        </w:rPr>
        <w:t xml:space="preserve"> </w:t>
      </w:r>
      <w:r>
        <w:rPr>
          <w:lang w:val="en-US"/>
        </w:rPr>
        <w:t>of</w:t>
      </w:r>
      <w:r w:rsidRPr="00213FB0">
        <w:rPr>
          <w:lang w:val="en-US"/>
        </w:rPr>
        <w:t xml:space="preserve"> </w:t>
      </w:r>
      <w:r w:rsidRPr="00C43310">
        <w:rPr>
          <w:lang w:val="en-US"/>
        </w:rPr>
        <w:t>the</w:t>
      </w:r>
      <w:r w:rsidRPr="00213FB0">
        <w:rPr>
          <w:lang w:val="en-US"/>
        </w:rPr>
        <w:t xml:space="preserve"> </w:t>
      </w:r>
      <w:r w:rsidRPr="00C43310">
        <w:rPr>
          <w:lang w:val="en-US"/>
        </w:rPr>
        <w:t>following</w:t>
      </w:r>
      <w:r w:rsidRPr="00213FB0">
        <w:rPr>
          <w:lang w:val="en-US"/>
        </w:rPr>
        <w:t xml:space="preserve"> </w:t>
      </w:r>
      <w:r w:rsidRPr="00C43310">
        <w:rPr>
          <w:lang w:val="en-US"/>
        </w:rPr>
        <w:t>tasks</w:t>
      </w:r>
      <w:r w:rsidRPr="00213FB0">
        <w:rPr>
          <w:lang w:val="en-US"/>
        </w:rPr>
        <w:t xml:space="preserve"> </w:t>
      </w:r>
      <w:r w:rsidRPr="00C43310">
        <w:rPr>
          <w:lang w:val="en-US"/>
        </w:rPr>
        <w:t>and</w:t>
      </w:r>
      <w:r w:rsidRPr="00213FB0">
        <w:rPr>
          <w:lang w:val="en-US"/>
        </w:rPr>
        <w:t xml:space="preserve"> </w:t>
      </w:r>
      <w:r w:rsidRPr="00C43310">
        <w:rPr>
          <w:lang w:val="en-US"/>
        </w:rPr>
        <w:t>initiatives</w:t>
      </w:r>
      <w:r w:rsidR="00F2456E" w:rsidRPr="000E6DAE">
        <w:rPr>
          <w:lang w:val="kk-KZ"/>
        </w:rPr>
        <w:t>:</w:t>
      </w:r>
    </w:p>
    <w:p w14:paraId="52604EA9" w14:textId="77777777" w:rsidR="00F2456E" w:rsidRPr="00213FB0" w:rsidRDefault="00213FB0" w:rsidP="00F2456E">
      <w:pPr>
        <w:pStyle w:val="a7"/>
        <w:numPr>
          <w:ilvl w:val="0"/>
          <w:numId w:val="4"/>
        </w:numPr>
        <w:spacing w:after="0" w:line="240" w:lineRule="auto"/>
        <w:ind w:left="709" w:hanging="283"/>
        <w:jc w:val="both"/>
        <w:rPr>
          <w:lang w:val="en-US"/>
        </w:rPr>
      </w:pPr>
      <w:r>
        <w:rPr>
          <w:lang w:val="en-US"/>
        </w:rPr>
        <w:t>identification of ineligible</w:t>
      </w:r>
      <w:r w:rsidRPr="00C43310">
        <w:rPr>
          <w:lang w:val="kk-KZ"/>
        </w:rPr>
        <w:t xml:space="preserve"> activities, project types and business practices</w:t>
      </w:r>
      <w:r w:rsidR="00F2456E" w:rsidRPr="000E6DAE">
        <w:rPr>
          <w:lang w:val="kk-KZ"/>
        </w:rPr>
        <w:t>;</w:t>
      </w:r>
    </w:p>
    <w:p w14:paraId="53B68255" w14:textId="77777777" w:rsidR="00F2456E" w:rsidRPr="00213FB0" w:rsidRDefault="00213FB0" w:rsidP="00F2456E">
      <w:pPr>
        <w:pStyle w:val="a7"/>
        <w:numPr>
          <w:ilvl w:val="0"/>
          <w:numId w:val="4"/>
        </w:numPr>
        <w:spacing w:after="0" w:line="240" w:lineRule="auto"/>
        <w:ind w:left="709" w:hanging="283"/>
        <w:jc w:val="both"/>
        <w:rPr>
          <w:lang w:val="en-US"/>
        </w:rPr>
      </w:pPr>
      <w:r w:rsidRPr="00C43310">
        <w:rPr>
          <w:lang w:val="kk-KZ"/>
        </w:rPr>
        <w:lastRenderedPageBreak/>
        <w:t>identification of key industries and projects for the Bank in terms of green economy</w:t>
      </w:r>
      <w:r w:rsidR="00F2456E" w:rsidRPr="000E6DAE">
        <w:rPr>
          <w:lang w:val="kk-KZ"/>
        </w:rPr>
        <w:t>;</w:t>
      </w:r>
    </w:p>
    <w:p w14:paraId="1BB2E806" w14:textId="77777777" w:rsidR="00F2456E" w:rsidRPr="000E6DAE" w:rsidRDefault="00213FB0" w:rsidP="00F2456E">
      <w:pPr>
        <w:pStyle w:val="a7"/>
        <w:numPr>
          <w:ilvl w:val="0"/>
          <w:numId w:val="4"/>
        </w:numPr>
        <w:spacing w:after="0" w:line="240" w:lineRule="auto"/>
        <w:ind w:left="709" w:hanging="283"/>
        <w:jc w:val="both"/>
        <w:rPr>
          <w:lang w:val="kk-KZ"/>
        </w:rPr>
      </w:pPr>
      <w:r w:rsidRPr="00C43310">
        <w:rPr>
          <w:lang w:val="kk-KZ"/>
        </w:rPr>
        <w:t xml:space="preserve">launching and/or </w:t>
      </w:r>
      <w:r>
        <w:rPr>
          <w:lang w:val="en-US"/>
        </w:rPr>
        <w:t>development of s</w:t>
      </w:r>
      <w:r w:rsidRPr="00C43310">
        <w:rPr>
          <w:lang w:val="kk-KZ"/>
        </w:rPr>
        <w:t>ustainable banking products</w:t>
      </w:r>
      <w:r w:rsidR="00F2456E" w:rsidRPr="000E6DAE">
        <w:rPr>
          <w:lang w:val="kk-KZ"/>
        </w:rPr>
        <w:t>;</w:t>
      </w:r>
    </w:p>
    <w:p w14:paraId="397BEC4C" w14:textId="77777777" w:rsidR="00F2456E" w:rsidRPr="000E6DAE" w:rsidRDefault="00213FB0" w:rsidP="00F2456E">
      <w:pPr>
        <w:pStyle w:val="a7"/>
        <w:numPr>
          <w:ilvl w:val="0"/>
          <w:numId w:val="4"/>
        </w:numPr>
        <w:spacing w:after="0" w:line="240" w:lineRule="auto"/>
        <w:ind w:left="709" w:hanging="283"/>
        <w:jc w:val="both"/>
        <w:rPr>
          <w:lang w:val="kk-KZ"/>
        </w:rPr>
      </w:pPr>
      <w:r w:rsidRPr="00C43310">
        <w:rPr>
          <w:lang w:val="kk-KZ"/>
        </w:rPr>
        <w:t xml:space="preserve">building </w:t>
      </w:r>
      <w:r>
        <w:rPr>
          <w:lang w:val="en-US"/>
        </w:rPr>
        <w:t xml:space="preserve">the </w:t>
      </w:r>
      <w:r w:rsidRPr="00C43310">
        <w:rPr>
          <w:lang w:val="kk-KZ"/>
        </w:rPr>
        <w:t>internal gr</w:t>
      </w:r>
      <w:r>
        <w:rPr>
          <w:lang w:val="kk-KZ"/>
        </w:rPr>
        <w:t xml:space="preserve">een lending processes based on </w:t>
      </w:r>
      <w:r w:rsidRPr="00C43310">
        <w:rPr>
          <w:lang w:val="kk-KZ"/>
        </w:rPr>
        <w:t>requirements of the national and international taxonomy</w:t>
      </w:r>
      <w:r w:rsidR="00F2456E" w:rsidRPr="000E6DAE">
        <w:rPr>
          <w:lang w:val="kk-KZ"/>
        </w:rPr>
        <w:t>;</w:t>
      </w:r>
    </w:p>
    <w:p w14:paraId="6224E956" w14:textId="77777777" w:rsidR="00F2456E" w:rsidRPr="00B5135B" w:rsidRDefault="00213FB0" w:rsidP="00F2456E">
      <w:pPr>
        <w:pStyle w:val="a7"/>
        <w:numPr>
          <w:ilvl w:val="0"/>
          <w:numId w:val="4"/>
        </w:numPr>
        <w:spacing w:after="0" w:line="240" w:lineRule="auto"/>
        <w:ind w:left="709" w:hanging="283"/>
        <w:jc w:val="both"/>
        <w:rPr>
          <w:lang w:val="kk-KZ"/>
        </w:rPr>
      </w:pPr>
      <w:r w:rsidRPr="00213FB0">
        <w:rPr>
          <w:lang w:val="kk-KZ"/>
        </w:rPr>
        <w:t>introduction of tools to assess borrowers and projects for their exposure to climate, E&amp;S risks and</w:t>
      </w:r>
      <w:r>
        <w:rPr>
          <w:lang w:val="kk-KZ"/>
        </w:rPr>
        <w:t xml:space="preserve"> ESG factors</w:t>
      </w:r>
      <w:r w:rsidR="00F2456E" w:rsidRPr="00213FB0">
        <w:rPr>
          <w:lang w:val="kk-KZ"/>
        </w:rPr>
        <w:t>;</w:t>
      </w:r>
    </w:p>
    <w:p w14:paraId="3D187E41" w14:textId="77777777" w:rsidR="00F2456E" w:rsidRPr="000E6DAE" w:rsidRDefault="00213FB0" w:rsidP="00F2456E">
      <w:pPr>
        <w:pStyle w:val="a7"/>
        <w:numPr>
          <w:ilvl w:val="0"/>
          <w:numId w:val="4"/>
        </w:numPr>
        <w:spacing w:after="0" w:line="240" w:lineRule="auto"/>
        <w:ind w:left="709" w:hanging="283"/>
        <w:jc w:val="both"/>
        <w:rPr>
          <w:lang w:val="kk-KZ"/>
        </w:rPr>
      </w:pPr>
      <w:r w:rsidRPr="00C43310">
        <w:rPr>
          <w:lang w:val="kk-KZ"/>
        </w:rPr>
        <w:t xml:space="preserve">definition of </w:t>
      </w:r>
      <w:r>
        <w:rPr>
          <w:lang w:val="en-US"/>
        </w:rPr>
        <w:t>sustainable finance</w:t>
      </w:r>
      <w:r w:rsidRPr="00C43310">
        <w:rPr>
          <w:lang w:val="kk-KZ"/>
        </w:rPr>
        <w:t xml:space="preserve"> goals (including: formation of green loan portfolio</w:t>
      </w:r>
      <w:r w:rsidR="00F2456E" w:rsidRPr="00213FB0">
        <w:rPr>
          <w:lang w:val="en-US"/>
        </w:rPr>
        <w:t>)</w:t>
      </w:r>
      <w:r w:rsidR="00F2456E" w:rsidRPr="000E6DAE">
        <w:rPr>
          <w:lang w:val="kk-KZ"/>
        </w:rPr>
        <w:t>;</w:t>
      </w:r>
    </w:p>
    <w:p w14:paraId="6FB060AC" w14:textId="77777777" w:rsidR="00F2456E" w:rsidRPr="000E6DAE" w:rsidRDefault="00213FB0" w:rsidP="00F2456E">
      <w:pPr>
        <w:pStyle w:val="a7"/>
        <w:numPr>
          <w:ilvl w:val="0"/>
          <w:numId w:val="4"/>
        </w:numPr>
        <w:spacing w:after="0" w:line="240" w:lineRule="auto"/>
        <w:ind w:left="709" w:hanging="283"/>
        <w:jc w:val="both"/>
        <w:rPr>
          <w:lang w:val="kk-KZ"/>
        </w:rPr>
      </w:pPr>
      <w:r>
        <w:rPr>
          <w:lang w:val="kk-KZ"/>
        </w:rPr>
        <w:t>expansion of the Bank</w:t>
      </w:r>
      <w:r w:rsidRPr="00213FB0">
        <w:rPr>
          <w:lang w:val="kk-KZ"/>
        </w:rPr>
        <w:t>’</w:t>
      </w:r>
      <w:r w:rsidRPr="00C43310">
        <w:rPr>
          <w:lang w:val="kk-KZ"/>
        </w:rPr>
        <w:t xml:space="preserve">s participation in </w:t>
      </w:r>
      <w:r w:rsidRPr="00213FB0">
        <w:rPr>
          <w:lang w:val="kk-KZ"/>
        </w:rPr>
        <w:t xml:space="preserve">the </w:t>
      </w:r>
      <w:r w:rsidRPr="00C43310">
        <w:rPr>
          <w:lang w:val="kk-KZ"/>
        </w:rPr>
        <w:t>state support programmes aimed at supporting green lending</w:t>
      </w:r>
      <w:r w:rsidR="00F2456E" w:rsidRPr="00213FB0">
        <w:rPr>
          <w:lang w:val="kk-KZ"/>
        </w:rPr>
        <w:t>.</w:t>
      </w:r>
    </w:p>
    <w:p w14:paraId="5C799740" w14:textId="77777777" w:rsidR="00F2456E" w:rsidRPr="00021CC1" w:rsidRDefault="00BD7CCC" w:rsidP="00F2456E">
      <w:pPr>
        <w:pStyle w:val="1"/>
        <w:rPr>
          <w:color w:val="auto"/>
          <w:lang w:val="kk-KZ"/>
        </w:rPr>
      </w:pPr>
      <w:bookmarkStart w:id="13" w:name="_Toc139019041"/>
      <w:bookmarkStart w:id="14" w:name="_Toc139290502"/>
      <w:bookmarkStart w:id="15" w:name="_Toc139473418"/>
      <w:bookmarkStart w:id="16" w:name="_Toc199501407"/>
      <w:r>
        <w:rPr>
          <w:color w:val="auto"/>
          <w:lang w:val="en-US"/>
        </w:rPr>
        <w:t>Chapter</w:t>
      </w:r>
      <w:r w:rsidR="00F2456E">
        <w:rPr>
          <w:color w:val="auto"/>
          <w:lang w:val="kk-KZ"/>
        </w:rPr>
        <w:t xml:space="preserve"> 3</w:t>
      </w:r>
      <w:r w:rsidR="00F2456E" w:rsidRPr="000E6DAE">
        <w:rPr>
          <w:color w:val="auto"/>
          <w:lang w:val="kk-KZ"/>
        </w:rPr>
        <w:t xml:space="preserve">. </w:t>
      </w:r>
      <w:r w:rsidRPr="00BD7CCC">
        <w:rPr>
          <w:color w:val="auto"/>
          <w:lang w:val="kk-KZ"/>
        </w:rPr>
        <w:t xml:space="preserve">Environmental and Social Risk Management </w:t>
      </w:r>
      <w:r>
        <w:rPr>
          <w:color w:val="auto"/>
          <w:lang w:val="en-US"/>
        </w:rPr>
        <w:t>System</w:t>
      </w:r>
      <w:bookmarkEnd w:id="16"/>
      <w:r w:rsidR="00F2456E" w:rsidRPr="00BD7CCC">
        <w:rPr>
          <w:rStyle w:val="s19"/>
          <w:color w:val="000000" w:themeColor="text1"/>
          <w:lang w:val="kk-KZ"/>
        </w:rPr>
        <w:t xml:space="preserve"> </w:t>
      </w:r>
      <w:bookmarkEnd w:id="13"/>
      <w:bookmarkEnd w:id="14"/>
      <w:bookmarkEnd w:id="15"/>
    </w:p>
    <w:p w14:paraId="3FAC5A53" w14:textId="77777777" w:rsidR="00F2456E" w:rsidRPr="009A36E8" w:rsidRDefault="00BD7CCC" w:rsidP="00F2456E">
      <w:pPr>
        <w:pStyle w:val="a7"/>
        <w:numPr>
          <w:ilvl w:val="0"/>
          <w:numId w:val="1"/>
        </w:numPr>
        <w:spacing w:after="0" w:line="240" w:lineRule="auto"/>
        <w:ind w:left="0" w:firstLine="0"/>
        <w:jc w:val="both"/>
        <w:rPr>
          <w:lang w:val="en-US"/>
        </w:rPr>
      </w:pPr>
      <w:r w:rsidRPr="00BD7CCC">
        <w:rPr>
          <w:lang w:val="kk-KZ"/>
        </w:rPr>
        <w:t>The Environmental and Social Risk Management System (</w:t>
      </w:r>
      <w:r>
        <w:rPr>
          <w:lang w:val="en-US"/>
        </w:rPr>
        <w:t>the</w:t>
      </w:r>
      <w:r w:rsidRPr="00BD7CCC">
        <w:rPr>
          <w:lang w:val="kk-KZ"/>
        </w:rPr>
        <w:t xml:space="preserve"> ESMS) </w:t>
      </w:r>
      <w:r w:rsidR="00525D8E">
        <w:rPr>
          <w:lang w:val="en-US"/>
        </w:rPr>
        <w:t>is intended f</w:t>
      </w:r>
      <w:r w:rsidRPr="00BD7CCC">
        <w:rPr>
          <w:lang w:val="kk-KZ"/>
        </w:rPr>
        <w:t xml:space="preserve">or </w:t>
      </w:r>
      <w:r w:rsidR="009A36E8">
        <w:rPr>
          <w:lang w:val="en-US"/>
        </w:rPr>
        <w:t xml:space="preserve">carrying out due diligence of </w:t>
      </w:r>
      <w:r w:rsidRPr="00BD7CCC">
        <w:rPr>
          <w:lang w:val="kk-KZ"/>
        </w:rPr>
        <w:t xml:space="preserve">climate, E&amp;S risks and ESG factors (hereinafter </w:t>
      </w:r>
      <w:r w:rsidR="009A36E8">
        <w:rPr>
          <w:lang w:val="en-US"/>
        </w:rPr>
        <w:t>the due diligence</w:t>
      </w:r>
      <w:r w:rsidRPr="00BD7CCC">
        <w:rPr>
          <w:lang w:val="kk-KZ"/>
        </w:rPr>
        <w:t xml:space="preserve">) for corporate borrowers and projects. Based on the </w:t>
      </w:r>
      <w:r w:rsidR="009A36E8" w:rsidRPr="009A36E8">
        <w:rPr>
          <w:lang w:val="kk-KZ"/>
        </w:rPr>
        <w:t xml:space="preserve">due diligence </w:t>
      </w:r>
      <w:r w:rsidRPr="00BD7CCC">
        <w:rPr>
          <w:lang w:val="kk-KZ"/>
        </w:rPr>
        <w:t xml:space="preserve">results, the Bank </w:t>
      </w:r>
      <w:r w:rsidR="009A36E8" w:rsidRPr="009A36E8">
        <w:rPr>
          <w:lang w:val="kk-KZ"/>
        </w:rPr>
        <w:t xml:space="preserve">shall identify </w:t>
      </w:r>
      <w:r w:rsidRPr="00BD7CCC">
        <w:rPr>
          <w:lang w:val="kk-KZ"/>
        </w:rPr>
        <w:t xml:space="preserve">five levels of risk exposure: low, reduced, medium, </w:t>
      </w:r>
      <w:r w:rsidR="009A36E8" w:rsidRPr="009A36E8">
        <w:rPr>
          <w:lang w:val="kk-KZ"/>
        </w:rPr>
        <w:t>high</w:t>
      </w:r>
      <w:r w:rsidRPr="00BD7CCC">
        <w:rPr>
          <w:lang w:val="kk-KZ"/>
        </w:rPr>
        <w:t>, critical</w:t>
      </w:r>
      <w:r w:rsidR="00F2456E" w:rsidRPr="009A36E8">
        <w:rPr>
          <w:lang w:val="en-US"/>
        </w:rPr>
        <w:t xml:space="preserve">. </w:t>
      </w:r>
    </w:p>
    <w:p w14:paraId="52120774" w14:textId="05EE4A7B" w:rsidR="00F2456E" w:rsidRPr="009A36E8" w:rsidRDefault="009A36E8" w:rsidP="00F2456E">
      <w:pPr>
        <w:pStyle w:val="a7"/>
        <w:numPr>
          <w:ilvl w:val="0"/>
          <w:numId w:val="1"/>
        </w:numPr>
        <w:spacing w:after="0" w:line="240" w:lineRule="auto"/>
        <w:ind w:left="0" w:firstLine="0"/>
        <w:jc w:val="both"/>
        <w:rPr>
          <w:lang w:val="en-US"/>
        </w:rPr>
      </w:pPr>
      <w:r w:rsidRPr="009A36E8">
        <w:rPr>
          <w:lang w:val="en-US"/>
        </w:rPr>
        <w:t xml:space="preserve">The Bank </w:t>
      </w:r>
      <w:r>
        <w:rPr>
          <w:lang w:val="en-US"/>
        </w:rPr>
        <w:t xml:space="preserve">shall </w:t>
      </w:r>
      <w:r w:rsidR="00AA554A">
        <w:rPr>
          <w:lang w:val="en-US"/>
        </w:rPr>
        <w:t>conduct</w:t>
      </w:r>
      <w:r>
        <w:rPr>
          <w:lang w:val="en-US"/>
        </w:rPr>
        <w:t xml:space="preserve"> due diligence </w:t>
      </w:r>
      <w:r w:rsidRPr="009A36E8">
        <w:rPr>
          <w:lang w:val="en-US"/>
        </w:rPr>
        <w:t xml:space="preserve">of corporate borrowers and projects, </w:t>
      </w:r>
      <w:r>
        <w:rPr>
          <w:lang w:val="en-US"/>
        </w:rPr>
        <w:t>subject to the borrower’</w:t>
      </w:r>
      <w:r w:rsidRPr="009A36E8">
        <w:rPr>
          <w:lang w:val="en-US"/>
        </w:rPr>
        <w:t xml:space="preserve">s business segment and materiality threshold </w:t>
      </w:r>
      <w:r>
        <w:rPr>
          <w:lang w:val="en-US"/>
        </w:rPr>
        <w:t>in terms of</w:t>
      </w:r>
      <w:r w:rsidRPr="009A36E8">
        <w:rPr>
          <w:lang w:val="en-US"/>
        </w:rPr>
        <w:t xml:space="preserve"> the amount of its liabilities to the Bank. Materiality thresholds </w:t>
      </w:r>
      <w:r>
        <w:rPr>
          <w:lang w:val="en-US"/>
        </w:rPr>
        <w:t>shall</w:t>
      </w:r>
      <w:r w:rsidRPr="009A36E8">
        <w:rPr>
          <w:lang w:val="en-US"/>
        </w:rPr>
        <w:t xml:space="preserve"> </w:t>
      </w:r>
      <w:r>
        <w:rPr>
          <w:lang w:val="en-US"/>
        </w:rPr>
        <w:t>be</w:t>
      </w:r>
      <w:r w:rsidRPr="009A36E8">
        <w:rPr>
          <w:lang w:val="en-US"/>
        </w:rPr>
        <w:t xml:space="preserve"> set by the Sustainable Development Committee</w:t>
      </w:r>
      <w:r w:rsidR="00F2456E" w:rsidRPr="009A36E8">
        <w:rPr>
          <w:lang w:val="en-US"/>
        </w:rPr>
        <w:t>.</w:t>
      </w:r>
    </w:p>
    <w:p w14:paraId="18B4DD29" w14:textId="77777777" w:rsidR="00F2456E" w:rsidRPr="009A36E8" w:rsidRDefault="00F2456E" w:rsidP="00F2456E">
      <w:pPr>
        <w:pStyle w:val="2"/>
        <w:rPr>
          <w:lang w:val="en-US"/>
        </w:rPr>
      </w:pPr>
      <w:bookmarkStart w:id="17" w:name="_Toc139019042"/>
      <w:bookmarkStart w:id="18" w:name="_Toc139290503"/>
      <w:bookmarkStart w:id="19" w:name="_Toc139473419"/>
      <w:bookmarkStart w:id="20" w:name="_Toc199501408"/>
      <w:r w:rsidRPr="009A36E8">
        <w:rPr>
          <w:lang w:val="en-US"/>
        </w:rPr>
        <w:t xml:space="preserve">3.1. </w:t>
      </w:r>
      <w:r w:rsidR="009A36E8">
        <w:rPr>
          <w:lang w:val="en-US"/>
        </w:rPr>
        <w:t>Due</w:t>
      </w:r>
      <w:r w:rsidR="009A36E8" w:rsidRPr="009A36E8">
        <w:rPr>
          <w:lang w:val="en-US"/>
        </w:rPr>
        <w:t xml:space="preserve"> </w:t>
      </w:r>
      <w:r w:rsidR="009A36E8">
        <w:rPr>
          <w:lang w:val="en-US"/>
        </w:rPr>
        <w:t>Diligence</w:t>
      </w:r>
      <w:r w:rsidR="009A36E8" w:rsidRPr="009A36E8">
        <w:rPr>
          <w:lang w:val="en-US"/>
        </w:rPr>
        <w:t xml:space="preserve"> </w:t>
      </w:r>
      <w:r w:rsidR="009A36E8">
        <w:rPr>
          <w:lang w:val="en-US"/>
        </w:rPr>
        <w:t>Tools</w:t>
      </w:r>
      <w:r w:rsidR="009A36E8" w:rsidRPr="009A36E8">
        <w:rPr>
          <w:lang w:val="en-US"/>
        </w:rPr>
        <w:t xml:space="preserve"> </w:t>
      </w:r>
      <w:r w:rsidR="009A36E8">
        <w:rPr>
          <w:lang w:val="en-US"/>
        </w:rPr>
        <w:t>and</w:t>
      </w:r>
      <w:r w:rsidR="009A36E8" w:rsidRPr="009A36E8">
        <w:rPr>
          <w:lang w:val="en-US"/>
        </w:rPr>
        <w:t xml:space="preserve"> </w:t>
      </w:r>
      <w:r w:rsidR="009A36E8">
        <w:rPr>
          <w:lang w:val="en-US"/>
        </w:rPr>
        <w:t>Procedures</w:t>
      </w:r>
      <w:bookmarkEnd w:id="20"/>
      <w:r w:rsidRPr="009A36E8">
        <w:rPr>
          <w:lang w:val="en-US"/>
        </w:rPr>
        <w:t xml:space="preserve"> </w:t>
      </w:r>
      <w:bookmarkEnd w:id="17"/>
      <w:bookmarkEnd w:id="18"/>
      <w:bookmarkEnd w:id="19"/>
    </w:p>
    <w:p w14:paraId="6D953693" w14:textId="77777777" w:rsidR="00F2456E" w:rsidRPr="009A36E8" w:rsidRDefault="009A36E8" w:rsidP="00F2456E">
      <w:pPr>
        <w:pStyle w:val="a7"/>
        <w:numPr>
          <w:ilvl w:val="0"/>
          <w:numId w:val="1"/>
        </w:numPr>
        <w:spacing w:after="0" w:line="240" w:lineRule="auto"/>
        <w:ind w:left="0" w:firstLine="0"/>
        <w:jc w:val="both"/>
        <w:rPr>
          <w:lang w:val="en-US"/>
        </w:rPr>
      </w:pPr>
      <w:r>
        <w:rPr>
          <w:lang w:val="en-US"/>
        </w:rPr>
        <w:t>A</w:t>
      </w:r>
      <w:r w:rsidRPr="006F2BA5">
        <w:rPr>
          <w:lang w:val="en-US"/>
        </w:rPr>
        <w:t xml:space="preserve">s key assessment tools, </w:t>
      </w:r>
      <w:r>
        <w:rPr>
          <w:lang w:val="en-US"/>
        </w:rPr>
        <w:t>the</w:t>
      </w:r>
      <w:r w:rsidRPr="006F2BA5">
        <w:rPr>
          <w:lang w:val="en-US"/>
        </w:rPr>
        <w:t xml:space="preserve"> Bank </w:t>
      </w:r>
      <w:r>
        <w:rPr>
          <w:lang w:val="en-US"/>
        </w:rPr>
        <w:t>shall define</w:t>
      </w:r>
      <w:r w:rsidR="00F2456E" w:rsidRPr="009A36E8">
        <w:rPr>
          <w:lang w:val="en-US"/>
        </w:rPr>
        <w:t>:</w:t>
      </w:r>
    </w:p>
    <w:p w14:paraId="105B8696" w14:textId="08515F64" w:rsidR="00F2456E" w:rsidRPr="000234B8" w:rsidRDefault="00F2456E" w:rsidP="00F2456E">
      <w:pPr>
        <w:pStyle w:val="a7"/>
        <w:spacing w:after="0" w:line="240" w:lineRule="auto"/>
        <w:ind w:left="709" w:hanging="283"/>
        <w:jc w:val="both"/>
        <w:rPr>
          <w:lang w:val="en-US"/>
        </w:rPr>
      </w:pPr>
      <w:r w:rsidRPr="009A36E8">
        <w:rPr>
          <w:lang w:val="en-US"/>
        </w:rPr>
        <w:t xml:space="preserve">1) </w:t>
      </w:r>
      <w:r w:rsidR="009A36E8" w:rsidRPr="006F2BA5">
        <w:rPr>
          <w:lang w:val="en-US"/>
        </w:rPr>
        <w:t xml:space="preserve">Exclusion </w:t>
      </w:r>
      <w:r w:rsidR="009A36E8">
        <w:rPr>
          <w:lang w:val="en-US"/>
        </w:rPr>
        <w:t>L</w:t>
      </w:r>
      <w:r w:rsidR="009A36E8" w:rsidRPr="006F2BA5">
        <w:rPr>
          <w:lang w:val="en-US"/>
        </w:rPr>
        <w:t xml:space="preserve">ist – </w:t>
      </w:r>
      <w:r w:rsidR="009A36E8">
        <w:rPr>
          <w:lang w:val="en-US"/>
        </w:rPr>
        <w:t>verification i</w:t>
      </w:r>
      <w:r w:rsidR="009A36E8" w:rsidRPr="006F2BA5">
        <w:rPr>
          <w:lang w:val="en-US"/>
        </w:rPr>
        <w:t xml:space="preserve">f </w:t>
      </w:r>
      <w:r w:rsidR="009A36E8">
        <w:rPr>
          <w:lang w:val="en-US"/>
        </w:rPr>
        <w:t>the borrower’s</w:t>
      </w:r>
      <w:r w:rsidR="009A36E8" w:rsidRPr="006F2BA5">
        <w:rPr>
          <w:lang w:val="en-US"/>
        </w:rPr>
        <w:t xml:space="preserve"> activities and </w:t>
      </w:r>
      <w:r w:rsidR="009A36E8">
        <w:rPr>
          <w:lang w:val="en-US"/>
        </w:rPr>
        <w:t xml:space="preserve">applicable </w:t>
      </w:r>
      <w:r w:rsidR="009A36E8" w:rsidRPr="006F2BA5">
        <w:rPr>
          <w:lang w:val="en-US"/>
        </w:rPr>
        <w:t xml:space="preserve">practices </w:t>
      </w:r>
      <w:r w:rsidR="009A36E8">
        <w:rPr>
          <w:lang w:val="en-US"/>
        </w:rPr>
        <w:t xml:space="preserve">are </w:t>
      </w:r>
      <w:r w:rsidR="000234B8">
        <w:rPr>
          <w:lang w:val="en-US"/>
        </w:rPr>
        <w:t>compliant with</w:t>
      </w:r>
      <w:r w:rsidR="009A36E8" w:rsidRPr="006F2BA5">
        <w:rPr>
          <w:lang w:val="en-US"/>
        </w:rPr>
        <w:t xml:space="preserve"> the </w:t>
      </w:r>
      <w:r w:rsidR="009A36E8">
        <w:rPr>
          <w:lang w:val="en-US"/>
        </w:rPr>
        <w:t>Exclusion L</w:t>
      </w:r>
      <w:r w:rsidR="009A36E8" w:rsidRPr="006F2BA5">
        <w:rPr>
          <w:lang w:val="en-US"/>
        </w:rPr>
        <w:t>ist according to A</w:t>
      </w:r>
      <w:r w:rsidR="009A36E8">
        <w:rPr>
          <w:lang w:val="en-US"/>
        </w:rPr>
        <w:t>nnex</w:t>
      </w:r>
      <w:r w:rsidR="009A36E8" w:rsidRPr="006F2BA5">
        <w:rPr>
          <w:lang w:val="en-US"/>
        </w:rPr>
        <w:t xml:space="preserve"> 1 </w:t>
      </w:r>
      <w:r w:rsidR="009A36E8">
        <w:rPr>
          <w:lang w:val="en-US"/>
        </w:rPr>
        <w:t>here</w:t>
      </w:r>
      <w:r w:rsidR="009A36E8" w:rsidRPr="006F2BA5">
        <w:rPr>
          <w:lang w:val="en-US"/>
        </w:rPr>
        <w:t>to, with refusal to finance such activities. All</w:t>
      </w:r>
      <w:r w:rsidR="009A36E8" w:rsidRPr="000234B8">
        <w:rPr>
          <w:lang w:val="en-US"/>
        </w:rPr>
        <w:t xml:space="preserve"> </w:t>
      </w:r>
      <w:r w:rsidR="009A36E8" w:rsidRPr="006F2BA5">
        <w:rPr>
          <w:lang w:val="en-US"/>
        </w:rPr>
        <w:t>corporate</w:t>
      </w:r>
      <w:r w:rsidR="009A36E8" w:rsidRPr="000234B8">
        <w:rPr>
          <w:lang w:val="en-US"/>
        </w:rPr>
        <w:t xml:space="preserve"> </w:t>
      </w:r>
      <w:r w:rsidR="009A36E8" w:rsidRPr="006F2BA5">
        <w:rPr>
          <w:lang w:val="en-US"/>
        </w:rPr>
        <w:t>borrowers</w:t>
      </w:r>
      <w:r w:rsidR="009A36E8" w:rsidRPr="000234B8">
        <w:rPr>
          <w:lang w:val="en-US"/>
        </w:rPr>
        <w:t xml:space="preserve"> </w:t>
      </w:r>
      <w:r w:rsidR="009A36E8">
        <w:rPr>
          <w:lang w:val="en-US"/>
        </w:rPr>
        <w:t>shall</w:t>
      </w:r>
      <w:r w:rsidR="009A36E8" w:rsidRPr="000234B8">
        <w:rPr>
          <w:lang w:val="en-US"/>
        </w:rPr>
        <w:t xml:space="preserve"> </w:t>
      </w:r>
      <w:r w:rsidR="009A36E8">
        <w:rPr>
          <w:lang w:val="en-US"/>
        </w:rPr>
        <w:t>be</w:t>
      </w:r>
      <w:r w:rsidR="009A36E8" w:rsidRPr="000234B8">
        <w:rPr>
          <w:lang w:val="en-US"/>
        </w:rPr>
        <w:t xml:space="preserve"> </w:t>
      </w:r>
      <w:r w:rsidR="009A36E8" w:rsidRPr="006F2BA5">
        <w:rPr>
          <w:lang w:val="en-US"/>
        </w:rPr>
        <w:t>subject</w:t>
      </w:r>
      <w:r w:rsidR="009A36E8" w:rsidRPr="000234B8">
        <w:rPr>
          <w:lang w:val="en-US"/>
        </w:rPr>
        <w:t xml:space="preserve"> </w:t>
      </w:r>
      <w:r w:rsidR="009A36E8" w:rsidRPr="006F2BA5">
        <w:rPr>
          <w:lang w:val="en-US"/>
        </w:rPr>
        <w:t>to</w:t>
      </w:r>
      <w:r w:rsidR="009A36E8" w:rsidRPr="000234B8">
        <w:rPr>
          <w:lang w:val="en-US"/>
        </w:rPr>
        <w:t xml:space="preserve"> </w:t>
      </w:r>
      <w:r w:rsidR="009A36E8" w:rsidRPr="006F2BA5">
        <w:rPr>
          <w:lang w:val="en-US"/>
        </w:rPr>
        <w:t>verification</w:t>
      </w:r>
      <w:r w:rsidRPr="000234B8">
        <w:rPr>
          <w:lang w:val="en-US"/>
        </w:rPr>
        <w:t>.</w:t>
      </w:r>
    </w:p>
    <w:p w14:paraId="2246F299" w14:textId="77777777" w:rsidR="00F2456E" w:rsidRPr="000234B8" w:rsidRDefault="00F2456E" w:rsidP="00F2456E">
      <w:pPr>
        <w:pStyle w:val="a7"/>
        <w:spacing w:after="0" w:line="240" w:lineRule="auto"/>
        <w:ind w:left="709" w:hanging="283"/>
        <w:jc w:val="both"/>
        <w:rPr>
          <w:color w:val="000000" w:themeColor="text1"/>
          <w:lang w:val="en-US"/>
        </w:rPr>
      </w:pPr>
      <w:r w:rsidRPr="000234B8">
        <w:rPr>
          <w:color w:val="000000" w:themeColor="text1"/>
          <w:lang w:val="en-US"/>
        </w:rPr>
        <w:t xml:space="preserve">2) </w:t>
      </w:r>
      <w:r w:rsidRPr="000234B8">
        <w:rPr>
          <w:rStyle w:val="s19"/>
          <w:color w:val="000000" w:themeColor="text1"/>
          <w:lang w:val="en-US"/>
        </w:rPr>
        <w:t>ESDD:</w:t>
      </w:r>
    </w:p>
    <w:p w14:paraId="16D5A3B6" w14:textId="77777777" w:rsidR="00F2456E" w:rsidRPr="009A36E8" w:rsidRDefault="009A36E8" w:rsidP="00F2456E">
      <w:pPr>
        <w:pStyle w:val="a7"/>
        <w:numPr>
          <w:ilvl w:val="0"/>
          <w:numId w:val="21"/>
        </w:numPr>
        <w:spacing w:after="0" w:line="240" w:lineRule="auto"/>
        <w:ind w:left="709" w:firstLine="142"/>
        <w:jc w:val="both"/>
        <w:rPr>
          <w:lang w:val="en-US"/>
        </w:rPr>
      </w:pPr>
      <w:r w:rsidRPr="009A36E8">
        <w:rPr>
          <w:b/>
          <w:lang w:val="en-US"/>
        </w:rPr>
        <w:t>Self-declaration</w:t>
      </w:r>
      <w:r>
        <w:rPr>
          <w:b/>
          <w:lang w:val="en-US"/>
        </w:rPr>
        <w:t>:</w:t>
      </w:r>
      <w:r w:rsidRPr="006F2BA5">
        <w:rPr>
          <w:lang w:val="en-US"/>
        </w:rPr>
        <w:t xml:space="preserve"> </w:t>
      </w:r>
      <w:r>
        <w:rPr>
          <w:lang w:val="en-US"/>
        </w:rPr>
        <w:t>a</w:t>
      </w:r>
      <w:r w:rsidRPr="006F2BA5">
        <w:rPr>
          <w:lang w:val="en-US"/>
        </w:rPr>
        <w:t xml:space="preserve"> borrower </w:t>
      </w:r>
      <w:r>
        <w:rPr>
          <w:lang w:val="en-US"/>
        </w:rPr>
        <w:t>completes the</w:t>
      </w:r>
      <w:r w:rsidRPr="006F2BA5">
        <w:rPr>
          <w:lang w:val="en-US"/>
        </w:rPr>
        <w:t xml:space="preserve"> questionnaire depending on the type of its activity, </w:t>
      </w:r>
      <w:r>
        <w:rPr>
          <w:lang w:val="en-US"/>
        </w:rPr>
        <w:t xml:space="preserve">under </w:t>
      </w:r>
      <w:r w:rsidRPr="006F2BA5">
        <w:rPr>
          <w:lang w:val="en-US"/>
        </w:rPr>
        <w:t>which, based on the</w:t>
      </w:r>
      <w:r>
        <w:rPr>
          <w:lang w:val="en-US"/>
        </w:rPr>
        <w:t xml:space="preserve"> selected answers, the borrower’</w:t>
      </w:r>
      <w:r w:rsidRPr="006F2BA5">
        <w:rPr>
          <w:lang w:val="en-US"/>
        </w:rPr>
        <w:t xml:space="preserve">s exposure to climate risks, </w:t>
      </w:r>
      <w:r>
        <w:rPr>
          <w:lang w:val="en-US"/>
        </w:rPr>
        <w:t>and t</w:t>
      </w:r>
      <w:r w:rsidRPr="006F2BA5">
        <w:rPr>
          <w:lang w:val="en-US"/>
        </w:rPr>
        <w:t>he significance of environmental, social and corporate governance factors in the borrower</w:t>
      </w:r>
      <w:r>
        <w:rPr>
          <w:lang w:val="en-US"/>
        </w:rPr>
        <w:t>’</w:t>
      </w:r>
      <w:r w:rsidRPr="006F2BA5">
        <w:rPr>
          <w:lang w:val="en-US"/>
        </w:rPr>
        <w:t xml:space="preserve">s activity are </w:t>
      </w:r>
      <w:r>
        <w:rPr>
          <w:lang w:val="en-US"/>
        </w:rPr>
        <w:t>identified</w:t>
      </w:r>
      <w:r w:rsidRPr="006F2BA5">
        <w:rPr>
          <w:lang w:val="en-US"/>
        </w:rPr>
        <w:t>. Corporate</w:t>
      </w:r>
      <w:r w:rsidRPr="009A36E8">
        <w:rPr>
          <w:lang w:val="en-US"/>
        </w:rPr>
        <w:t xml:space="preserve"> </w:t>
      </w:r>
      <w:r w:rsidRPr="006F2BA5">
        <w:rPr>
          <w:lang w:val="en-US"/>
        </w:rPr>
        <w:t>borrowers</w:t>
      </w:r>
      <w:r w:rsidRPr="009A36E8">
        <w:rPr>
          <w:lang w:val="en-US"/>
        </w:rPr>
        <w:t xml:space="preserve"> </w:t>
      </w:r>
      <w:r>
        <w:rPr>
          <w:lang w:val="en-US"/>
        </w:rPr>
        <w:t>shall</w:t>
      </w:r>
      <w:r w:rsidRPr="009A36E8">
        <w:rPr>
          <w:lang w:val="en-US"/>
        </w:rPr>
        <w:t xml:space="preserve"> </w:t>
      </w:r>
      <w:r>
        <w:rPr>
          <w:lang w:val="en-US"/>
        </w:rPr>
        <w:t>be</w:t>
      </w:r>
      <w:r w:rsidRPr="009A36E8">
        <w:rPr>
          <w:lang w:val="en-US"/>
        </w:rPr>
        <w:t xml:space="preserve"> </w:t>
      </w:r>
      <w:r w:rsidRPr="006F2BA5">
        <w:rPr>
          <w:lang w:val="en-US"/>
        </w:rPr>
        <w:t>screened</w:t>
      </w:r>
      <w:r w:rsidRPr="009A36E8">
        <w:rPr>
          <w:lang w:val="en-US"/>
        </w:rPr>
        <w:t xml:space="preserve"> </w:t>
      </w:r>
      <w:r>
        <w:rPr>
          <w:lang w:val="en-US"/>
        </w:rPr>
        <w:t>subject</w:t>
      </w:r>
      <w:r w:rsidRPr="009A36E8">
        <w:rPr>
          <w:lang w:val="en-US"/>
        </w:rPr>
        <w:t xml:space="preserve"> </w:t>
      </w:r>
      <w:r>
        <w:rPr>
          <w:lang w:val="en-US"/>
        </w:rPr>
        <w:t>to</w:t>
      </w:r>
      <w:r w:rsidRPr="009A36E8">
        <w:rPr>
          <w:lang w:val="en-US"/>
        </w:rPr>
        <w:t xml:space="preserve"> </w:t>
      </w:r>
      <w:r>
        <w:rPr>
          <w:lang w:val="en-US"/>
        </w:rPr>
        <w:t>the</w:t>
      </w:r>
      <w:r w:rsidRPr="009A36E8">
        <w:rPr>
          <w:lang w:val="en-US"/>
        </w:rPr>
        <w:t xml:space="preserve"> </w:t>
      </w:r>
      <w:r w:rsidRPr="006F2BA5">
        <w:rPr>
          <w:lang w:val="en-US"/>
        </w:rPr>
        <w:t>materiality</w:t>
      </w:r>
      <w:r w:rsidRPr="009A36E8">
        <w:rPr>
          <w:lang w:val="en-US"/>
        </w:rPr>
        <w:t xml:space="preserve"> </w:t>
      </w:r>
      <w:r w:rsidRPr="006F2BA5">
        <w:rPr>
          <w:lang w:val="en-US"/>
        </w:rPr>
        <w:t>thresholds</w:t>
      </w:r>
      <w:r w:rsidR="00F2456E" w:rsidRPr="009A36E8">
        <w:rPr>
          <w:lang w:val="en-US"/>
        </w:rPr>
        <w:t>;</w:t>
      </w:r>
    </w:p>
    <w:p w14:paraId="1CF64593" w14:textId="77777777" w:rsidR="00F2456E" w:rsidRPr="008150A2" w:rsidRDefault="00F2456E" w:rsidP="008150A2">
      <w:pPr>
        <w:pStyle w:val="a7"/>
        <w:numPr>
          <w:ilvl w:val="0"/>
          <w:numId w:val="21"/>
        </w:numPr>
        <w:spacing w:after="0" w:line="240" w:lineRule="auto"/>
        <w:ind w:left="709" w:firstLine="142"/>
        <w:jc w:val="both"/>
        <w:rPr>
          <w:lang w:val="en-US"/>
        </w:rPr>
      </w:pPr>
      <w:r w:rsidRPr="009A36E8">
        <w:rPr>
          <w:b/>
          <w:bCs/>
          <w:lang w:val="en-US"/>
        </w:rPr>
        <w:t>ESG</w:t>
      </w:r>
      <w:r w:rsidR="009A36E8">
        <w:rPr>
          <w:b/>
          <w:bCs/>
          <w:lang w:val="en-US"/>
        </w:rPr>
        <w:t xml:space="preserve"> </w:t>
      </w:r>
      <w:r w:rsidR="009A36E8" w:rsidRPr="009A36E8">
        <w:rPr>
          <w:b/>
          <w:lang w:val="en-US"/>
        </w:rPr>
        <w:t>scoring</w:t>
      </w:r>
      <w:r w:rsidR="009A36E8">
        <w:rPr>
          <w:lang w:val="en-US"/>
        </w:rPr>
        <w:t>:</w:t>
      </w:r>
      <w:r w:rsidR="009A36E8" w:rsidRPr="006F2BA5">
        <w:rPr>
          <w:lang w:val="en-US"/>
        </w:rPr>
        <w:t xml:space="preserve"> a differentiated assessment of </w:t>
      </w:r>
      <w:r w:rsidR="009A36E8">
        <w:rPr>
          <w:lang w:val="en-US"/>
        </w:rPr>
        <w:t>the</w:t>
      </w:r>
      <w:r w:rsidR="008150A2">
        <w:rPr>
          <w:lang w:val="en-US"/>
        </w:rPr>
        <w:t xml:space="preserve"> borrower’</w:t>
      </w:r>
      <w:r w:rsidR="009A36E8" w:rsidRPr="006F2BA5">
        <w:rPr>
          <w:lang w:val="en-US"/>
        </w:rPr>
        <w:t xml:space="preserve">s exposure to climate risks and the relevance of sustainability factors in its operations, such as environmental impact, social responsibility and corporate governance, </w:t>
      </w:r>
      <w:r w:rsidR="009A36E8">
        <w:rPr>
          <w:lang w:val="en-US"/>
        </w:rPr>
        <w:t>subject to its minimiz</w:t>
      </w:r>
      <w:r w:rsidR="009A36E8" w:rsidRPr="006F2BA5">
        <w:rPr>
          <w:lang w:val="en-US"/>
        </w:rPr>
        <w:t xml:space="preserve">ation measures and adaptation initiatives </w:t>
      </w:r>
      <w:r w:rsidR="008150A2">
        <w:rPr>
          <w:lang w:val="en-US"/>
        </w:rPr>
        <w:t xml:space="preserve">taken </w:t>
      </w:r>
      <w:r w:rsidR="009A36E8" w:rsidRPr="006F2BA5">
        <w:rPr>
          <w:lang w:val="en-US"/>
        </w:rPr>
        <w:t>and based on verifiable data and information. Corporate</w:t>
      </w:r>
      <w:r w:rsidR="009A36E8" w:rsidRPr="008150A2">
        <w:rPr>
          <w:lang w:val="en-US"/>
        </w:rPr>
        <w:t xml:space="preserve"> </w:t>
      </w:r>
      <w:r w:rsidR="009A36E8" w:rsidRPr="006F2BA5">
        <w:rPr>
          <w:lang w:val="en-US"/>
        </w:rPr>
        <w:t>borrowers</w:t>
      </w:r>
      <w:r w:rsidR="009A36E8" w:rsidRPr="008150A2">
        <w:rPr>
          <w:lang w:val="en-US"/>
        </w:rPr>
        <w:t xml:space="preserve"> </w:t>
      </w:r>
      <w:r w:rsidR="009A36E8">
        <w:rPr>
          <w:lang w:val="en-US"/>
        </w:rPr>
        <w:t>shall</w:t>
      </w:r>
      <w:r w:rsidR="009A36E8" w:rsidRPr="008150A2">
        <w:rPr>
          <w:lang w:val="en-US"/>
        </w:rPr>
        <w:t xml:space="preserve"> </w:t>
      </w:r>
      <w:r w:rsidR="009A36E8">
        <w:rPr>
          <w:lang w:val="en-US"/>
        </w:rPr>
        <w:t>be</w:t>
      </w:r>
      <w:r w:rsidR="009A36E8" w:rsidRPr="008150A2">
        <w:rPr>
          <w:lang w:val="en-US"/>
        </w:rPr>
        <w:t xml:space="preserve"> </w:t>
      </w:r>
      <w:r w:rsidR="009A36E8" w:rsidRPr="006F2BA5">
        <w:rPr>
          <w:lang w:val="en-US"/>
        </w:rPr>
        <w:t>screened</w:t>
      </w:r>
      <w:r w:rsidR="009A36E8" w:rsidRPr="008150A2">
        <w:rPr>
          <w:lang w:val="en-US"/>
        </w:rPr>
        <w:t xml:space="preserve"> </w:t>
      </w:r>
      <w:r w:rsidR="009A36E8" w:rsidRPr="006F2BA5">
        <w:rPr>
          <w:lang w:val="en-US"/>
        </w:rPr>
        <w:t>based</w:t>
      </w:r>
      <w:r w:rsidR="009A36E8" w:rsidRPr="008150A2">
        <w:rPr>
          <w:lang w:val="en-US"/>
        </w:rPr>
        <w:t xml:space="preserve"> </w:t>
      </w:r>
      <w:r w:rsidR="009A36E8" w:rsidRPr="006F2BA5">
        <w:rPr>
          <w:lang w:val="en-US"/>
        </w:rPr>
        <w:t>on</w:t>
      </w:r>
      <w:r w:rsidR="009A36E8" w:rsidRPr="008150A2">
        <w:rPr>
          <w:lang w:val="en-US"/>
        </w:rPr>
        <w:t xml:space="preserve"> </w:t>
      </w:r>
      <w:r w:rsidR="009A36E8">
        <w:rPr>
          <w:lang w:val="en-US"/>
        </w:rPr>
        <w:t>the</w:t>
      </w:r>
      <w:r w:rsidR="009A36E8" w:rsidRPr="008150A2">
        <w:rPr>
          <w:lang w:val="en-US"/>
        </w:rPr>
        <w:t xml:space="preserve"> </w:t>
      </w:r>
      <w:r w:rsidR="009A36E8" w:rsidRPr="006F2BA5">
        <w:rPr>
          <w:lang w:val="en-US"/>
        </w:rPr>
        <w:t>materiality</w:t>
      </w:r>
      <w:r w:rsidR="009A36E8" w:rsidRPr="008150A2">
        <w:rPr>
          <w:lang w:val="en-US"/>
        </w:rPr>
        <w:t xml:space="preserve"> </w:t>
      </w:r>
      <w:r w:rsidR="009A36E8" w:rsidRPr="006F2BA5">
        <w:rPr>
          <w:lang w:val="en-US"/>
        </w:rPr>
        <w:t>thresholds</w:t>
      </w:r>
      <w:r w:rsidRPr="008150A2">
        <w:rPr>
          <w:lang w:val="en-US"/>
        </w:rPr>
        <w:t>;</w:t>
      </w:r>
    </w:p>
    <w:p w14:paraId="2ED7E4AE" w14:textId="77777777" w:rsidR="00F2456E" w:rsidRPr="008150A2" w:rsidRDefault="008150A2" w:rsidP="00F2456E">
      <w:pPr>
        <w:pStyle w:val="a7"/>
        <w:numPr>
          <w:ilvl w:val="0"/>
          <w:numId w:val="21"/>
        </w:numPr>
        <w:spacing w:after="0" w:line="240" w:lineRule="auto"/>
        <w:ind w:left="709" w:firstLine="142"/>
        <w:jc w:val="both"/>
        <w:rPr>
          <w:lang w:val="en-US"/>
        </w:rPr>
      </w:pPr>
      <w:r w:rsidRPr="008150A2">
        <w:rPr>
          <w:b/>
          <w:lang w:val="en-US"/>
        </w:rPr>
        <w:t>Project Assessment</w:t>
      </w:r>
      <w:r>
        <w:rPr>
          <w:lang w:val="en-US"/>
        </w:rPr>
        <w:t>:</w:t>
      </w:r>
      <w:r w:rsidRPr="006F2BA5">
        <w:rPr>
          <w:lang w:val="en-US"/>
        </w:rPr>
        <w:t xml:space="preserve"> assessment of project implementation risks, including assessment of management practices and general information, and positive project effects in accordance with the green and social taxonomy criteria. Corporate</w:t>
      </w:r>
      <w:r w:rsidRPr="008150A2">
        <w:rPr>
          <w:lang w:val="en-US"/>
        </w:rPr>
        <w:t xml:space="preserve"> </w:t>
      </w:r>
      <w:r w:rsidRPr="006F2BA5">
        <w:rPr>
          <w:lang w:val="en-US"/>
        </w:rPr>
        <w:t>borrowers</w:t>
      </w:r>
      <w:r w:rsidRPr="008150A2">
        <w:rPr>
          <w:lang w:val="en-US"/>
        </w:rPr>
        <w:t xml:space="preserve"> </w:t>
      </w:r>
      <w:r>
        <w:rPr>
          <w:lang w:val="en-US"/>
        </w:rPr>
        <w:t>shall</w:t>
      </w:r>
      <w:r w:rsidRPr="008150A2">
        <w:rPr>
          <w:lang w:val="en-US"/>
        </w:rPr>
        <w:t xml:space="preserve"> </w:t>
      </w:r>
      <w:r>
        <w:rPr>
          <w:lang w:val="en-US"/>
        </w:rPr>
        <w:t>be</w:t>
      </w:r>
      <w:r w:rsidRPr="008150A2">
        <w:rPr>
          <w:lang w:val="en-US"/>
        </w:rPr>
        <w:t xml:space="preserve"> </w:t>
      </w:r>
      <w:r w:rsidRPr="006F2BA5">
        <w:rPr>
          <w:lang w:val="en-US"/>
        </w:rPr>
        <w:t>screened</w:t>
      </w:r>
      <w:r w:rsidRPr="008150A2">
        <w:rPr>
          <w:lang w:val="en-US"/>
        </w:rPr>
        <w:t xml:space="preserve"> </w:t>
      </w:r>
      <w:r w:rsidRPr="006F2BA5">
        <w:rPr>
          <w:lang w:val="en-US"/>
        </w:rPr>
        <w:t>based</w:t>
      </w:r>
      <w:r w:rsidRPr="008150A2">
        <w:rPr>
          <w:lang w:val="en-US"/>
        </w:rPr>
        <w:t xml:space="preserve"> </w:t>
      </w:r>
      <w:r w:rsidRPr="006F2BA5">
        <w:rPr>
          <w:lang w:val="en-US"/>
        </w:rPr>
        <w:t>on</w:t>
      </w:r>
      <w:r w:rsidRPr="008150A2">
        <w:rPr>
          <w:lang w:val="en-US"/>
        </w:rPr>
        <w:t xml:space="preserve"> </w:t>
      </w:r>
      <w:r>
        <w:rPr>
          <w:lang w:val="en-US"/>
        </w:rPr>
        <w:t>the</w:t>
      </w:r>
      <w:r w:rsidRPr="008150A2">
        <w:rPr>
          <w:lang w:val="en-US"/>
        </w:rPr>
        <w:t xml:space="preserve"> </w:t>
      </w:r>
      <w:r w:rsidRPr="006F2BA5">
        <w:rPr>
          <w:lang w:val="en-US"/>
        </w:rPr>
        <w:t>materiality</w:t>
      </w:r>
      <w:r w:rsidRPr="008150A2">
        <w:rPr>
          <w:lang w:val="en-US"/>
        </w:rPr>
        <w:t xml:space="preserve"> </w:t>
      </w:r>
      <w:r w:rsidRPr="006F2BA5">
        <w:rPr>
          <w:lang w:val="en-US"/>
        </w:rPr>
        <w:t>thresholds</w:t>
      </w:r>
      <w:r w:rsidR="00F2456E" w:rsidRPr="008150A2">
        <w:rPr>
          <w:lang w:val="en-US"/>
        </w:rPr>
        <w:t>.</w:t>
      </w:r>
    </w:p>
    <w:p w14:paraId="2B6CBD9B" w14:textId="77777777" w:rsidR="00F2456E" w:rsidRPr="008150A2" w:rsidRDefault="00F2456E" w:rsidP="00F2456E">
      <w:pPr>
        <w:pStyle w:val="a7"/>
        <w:spacing w:after="0" w:line="240" w:lineRule="auto"/>
        <w:ind w:left="709" w:hanging="283"/>
        <w:jc w:val="both"/>
        <w:rPr>
          <w:lang w:val="en-US"/>
        </w:rPr>
      </w:pPr>
      <w:r w:rsidRPr="008150A2">
        <w:rPr>
          <w:lang w:val="en-US"/>
        </w:rPr>
        <w:t xml:space="preserve">3) </w:t>
      </w:r>
      <w:r w:rsidR="008150A2">
        <w:rPr>
          <w:lang w:val="en-US"/>
        </w:rPr>
        <w:t xml:space="preserve">Taxonomy Compliance Assessment: </w:t>
      </w:r>
      <w:r w:rsidR="008150A2" w:rsidRPr="006F2BA5">
        <w:rPr>
          <w:lang w:val="en-US"/>
        </w:rPr>
        <w:t xml:space="preserve">small, medium and large loans </w:t>
      </w:r>
      <w:r w:rsidR="008150A2">
        <w:rPr>
          <w:lang w:val="en-US"/>
        </w:rPr>
        <w:t>shall be</w:t>
      </w:r>
      <w:r w:rsidR="008150A2" w:rsidRPr="006F2BA5">
        <w:rPr>
          <w:lang w:val="en-US"/>
        </w:rPr>
        <w:t xml:space="preserve"> screened against the gr</w:t>
      </w:r>
      <w:r w:rsidR="008150A2">
        <w:rPr>
          <w:lang w:val="en-US"/>
        </w:rPr>
        <w:t>een or social taxonomy criteria</w:t>
      </w:r>
      <w:r w:rsidR="008150A2" w:rsidRPr="006F2BA5">
        <w:rPr>
          <w:lang w:val="en-US"/>
        </w:rPr>
        <w:t>. Corporate</w:t>
      </w:r>
      <w:r w:rsidR="008150A2" w:rsidRPr="008150A2">
        <w:rPr>
          <w:lang w:val="en-US"/>
        </w:rPr>
        <w:t xml:space="preserve"> </w:t>
      </w:r>
      <w:r w:rsidR="008150A2" w:rsidRPr="006F2BA5">
        <w:rPr>
          <w:lang w:val="en-US"/>
        </w:rPr>
        <w:t>borrowers</w:t>
      </w:r>
      <w:r w:rsidR="008150A2" w:rsidRPr="008150A2">
        <w:rPr>
          <w:lang w:val="en-US"/>
        </w:rPr>
        <w:t xml:space="preserve"> </w:t>
      </w:r>
      <w:r w:rsidR="008150A2">
        <w:rPr>
          <w:lang w:val="en-US"/>
        </w:rPr>
        <w:t>shall</w:t>
      </w:r>
      <w:r w:rsidR="008150A2" w:rsidRPr="008150A2">
        <w:rPr>
          <w:lang w:val="en-US"/>
        </w:rPr>
        <w:t xml:space="preserve"> </w:t>
      </w:r>
      <w:r w:rsidR="008150A2">
        <w:rPr>
          <w:lang w:val="en-US"/>
        </w:rPr>
        <w:t>be</w:t>
      </w:r>
      <w:r w:rsidR="008150A2" w:rsidRPr="008150A2">
        <w:rPr>
          <w:lang w:val="en-US"/>
        </w:rPr>
        <w:t xml:space="preserve"> </w:t>
      </w:r>
      <w:r w:rsidR="008150A2" w:rsidRPr="006F2BA5">
        <w:rPr>
          <w:lang w:val="en-US"/>
        </w:rPr>
        <w:t>screened</w:t>
      </w:r>
      <w:r w:rsidR="008150A2" w:rsidRPr="008150A2">
        <w:rPr>
          <w:lang w:val="en-US"/>
        </w:rPr>
        <w:t xml:space="preserve"> </w:t>
      </w:r>
      <w:r w:rsidR="008150A2" w:rsidRPr="006F2BA5">
        <w:rPr>
          <w:lang w:val="en-US"/>
        </w:rPr>
        <w:t>based</w:t>
      </w:r>
      <w:r w:rsidR="008150A2" w:rsidRPr="008150A2">
        <w:rPr>
          <w:lang w:val="en-US"/>
        </w:rPr>
        <w:t xml:space="preserve"> </w:t>
      </w:r>
      <w:r w:rsidR="008150A2" w:rsidRPr="006F2BA5">
        <w:rPr>
          <w:lang w:val="en-US"/>
        </w:rPr>
        <w:t>on</w:t>
      </w:r>
      <w:r w:rsidR="008150A2" w:rsidRPr="008150A2">
        <w:rPr>
          <w:lang w:val="en-US"/>
        </w:rPr>
        <w:t xml:space="preserve"> </w:t>
      </w:r>
      <w:r w:rsidR="008150A2">
        <w:rPr>
          <w:lang w:val="en-US"/>
        </w:rPr>
        <w:t>the</w:t>
      </w:r>
      <w:r w:rsidR="008150A2" w:rsidRPr="008150A2">
        <w:rPr>
          <w:lang w:val="en-US"/>
        </w:rPr>
        <w:t xml:space="preserve"> </w:t>
      </w:r>
      <w:r w:rsidR="008150A2" w:rsidRPr="006F2BA5">
        <w:rPr>
          <w:lang w:val="en-US"/>
        </w:rPr>
        <w:t>materiality</w:t>
      </w:r>
      <w:r w:rsidR="008150A2" w:rsidRPr="008150A2">
        <w:rPr>
          <w:lang w:val="en-US"/>
        </w:rPr>
        <w:t xml:space="preserve"> </w:t>
      </w:r>
      <w:r w:rsidR="008150A2" w:rsidRPr="006F2BA5">
        <w:rPr>
          <w:lang w:val="en-US"/>
        </w:rPr>
        <w:t>thresholds</w:t>
      </w:r>
      <w:r w:rsidRPr="008150A2">
        <w:rPr>
          <w:lang w:val="en-US"/>
        </w:rPr>
        <w:t>.</w:t>
      </w:r>
    </w:p>
    <w:p w14:paraId="05B2A759" w14:textId="3B945867" w:rsidR="00374D42" w:rsidRDefault="008150A2" w:rsidP="00F2456E">
      <w:pPr>
        <w:pStyle w:val="a7"/>
        <w:numPr>
          <w:ilvl w:val="0"/>
          <w:numId w:val="1"/>
        </w:numPr>
        <w:spacing w:after="0" w:line="240" w:lineRule="auto"/>
        <w:ind w:left="0" w:firstLine="0"/>
        <w:jc w:val="both"/>
        <w:rPr>
          <w:lang w:val="en-US"/>
        </w:rPr>
      </w:pPr>
      <w:r w:rsidRPr="00AA6080">
        <w:rPr>
          <w:lang w:val="en-US"/>
        </w:rPr>
        <w:t>The</w:t>
      </w:r>
      <w:r>
        <w:rPr>
          <w:lang w:val="en-US"/>
        </w:rPr>
        <w:t xml:space="preserve"> assessment</w:t>
      </w:r>
      <w:r w:rsidRPr="00AA6080">
        <w:rPr>
          <w:lang w:val="en-US"/>
        </w:rPr>
        <w:t xml:space="preserve"> result</w:t>
      </w:r>
      <w:r>
        <w:rPr>
          <w:lang w:val="en-US"/>
        </w:rPr>
        <w:t xml:space="preserve"> shall be</w:t>
      </w:r>
      <w:r w:rsidRPr="00AA6080">
        <w:rPr>
          <w:lang w:val="en-US"/>
        </w:rPr>
        <w:t xml:space="preserve"> assignment to the borrower and/or project of a level of non-compliance with ESG-principles correlated with one of the following categories: low, reduced, medium, </w:t>
      </w:r>
      <w:r>
        <w:rPr>
          <w:lang w:val="en-US"/>
        </w:rPr>
        <w:t>high</w:t>
      </w:r>
      <w:r w:rsidRPr="00AA6080">
        <w:rPr>
          <w:lang w:val="en-US"/>
        </w:rPr>
        <w:t xml:space="preserve">, </w:t>
      </w:r>
      <w:r w:rsidR="00AA554A" w:rsidRPr="00AA6080">
        <w:rPr>
          <w:lang w:val="en-US"/>
        </w:rPr>
        <w:t>critica</w:t>
      </w:r>
      <w:r w:rsidR="00AA554A">
        <w:rPr>
          <w:lang w:val="en-US"/>
        </w:rPr>
        <w:t>l.</w:t>
      </w:r>
    </w:p>
    <w:p w14:paraId="31CAB21D" w14:textId="77777777" w:rsidR="00F2456E" w:rsidRPr="007D1A6F" w:rsidRDefault="007D1A6F" w:rsidP="00F2456E">
      <w:pPr>
        <w:pStyle w:val="a7"/>
        <w:numPr>
          <w:ilvl w:val="0"/>
          <w:numId w:val="1"/>
        </w:numPr>
        <w:spacing w:after="0" w:line="240" w:lineRule="auto"/>
        <w:ind w:left="0" w:firstLine="0"/>
        <w:jc w:val="both"/>
        <w:rPr>
          <w:lang w:val="en-US"/>
        </w:rPr>
      </w:pPr>
      <w:r>
        <w:rPr>
          <w:lang w:val="en-US"/>
        </w:rPr>
        <w:t>As</w:t>
      </w:r>
      <w:r w:rsidRPr="007D1A6F">
        <w:rPr>
          <w:lang w:val="en-US"/>
        </w:rPr>
        <w:t xml:space="preserve"> </w:t>
      </w:r>
      <w:r>
        <w:rPr>
          <w:lang w:val="en-US"/>
        </w:rPr>
        <w:t>a</w:t>
      </w:r>
      <w:r w:rsidRPr="007D1A6F">
        <w:rPr>
          <w:lang w:val="en-US"/>
        </w:rPr>
        <w:t xml:space="preserve"> </w:t>
      </w:r>
      <w:r>
        <w:rPr>
          <w:lang w:val="en-US"/>
        </w:rPr>
        <w:t>result</w:t>
      </w:r>
      <w:r w:rsidRPr="007D1A6F">
        <w:rPr>
          <w:lang w:val="en-US"/>
        </w:rPr>
        <w:t xml:space="preserve"> </w:t>
      </w:r>
      <w:r>
        <w:rPr>
          <w:lang w:val="en-US"/>
        </w:rPr>
        <w:t>of</w:t>
      </w:r>
      <w:r w:rsidRPr="007D1A6F">
        <w:rPr>
          <w:lang w:val="en-US"/>
        </w:rPr>
        <w:t xml:space="preserve"> </w:t>
      </w:r>
      <w:r>
        <w:rPr>
          <w:lang w:val="en-US"/>
        </w:rPr>
        <w:t>due</w:t>
      </w:r>
      <w:r w:rsidRPr="007D1A6F">
        <w:rPr>
          <w:lang w:val="en-US"/>
        </w:rPr>
        <w:t xml:space="preserve"> </w:t>
      </w:r>
      <w:r>
        <w:rPr>
          <w:lang w:val="en-US"/>
        </w:rPr>
        <w:t>diligence</w:t>
      </w:r>
      <w:r w:rsidRPr="007D1A6F">
        <w:rPr>
          <w:lang w:val="en-US"/>
        </w:rPr>
        <w:t xml:space="preserve">, </w:t>
      </w:r>
      <w:r>
        <w:rPr>
          <w:lang w:val="en-US"/>
        </w:rPr>
        <w:t>the</w:t>
      </w:r>
      <w:r w:rsidRPr="007D1A6F">
        <w:rPr>
          <w:lang w:val="en-US"/>
        </w:rPr>
        <w:t xml:space="preserve"> </w:t>
      </w:r>
      <w:r>
        <w:rPr>
          <w:lang w:val="en-US"/>
        </w:rPr>
        <w:t>Borrower</w:t>
      </w:r>
      <w:r w:rsidRPr="007D1A6F">
        <w:rPr>
          <w:lang w:val="en-US"/>
        </w:rPr>
        <w:t xml:space="preserve"> </w:t>
      </w:r>
      <w:r>
        <w:rPr>
          <w:lang w:val="en-US"/>
        </w:rPr>
        <w:t>and</w:t>
      </w:r>
      <w:r w:rsidRPr="007D1A6F">
        <w:rPr>
          <w:lang w:val="en-US"/>
        </w:rPr>
        <w:t>/</w:t>
      </w:r>
      <w:r>
        <w:rPr>
          <w:lang w:val="en-US"/>
        </w:rPr>
        <w:t>or</w:t>
      </w:r>
      <w:r w:rsidRPr="007D1A6F">
        <w:rPr>
          <w:lang w:val="en-US"/>
        </w:rPr>
        <w:t xml:space="preserve"> </w:t>
      </w:r>
      <w:r>
        <w:rPr>
          <w:lang w:val="en-US"/>
        </w:rPr>
        <w:t>the</w:t>
      </w:r>
      <w:r w:rsidRPr="007D1A6F">
        <w:rPr>
          <w:lang w:val="en-US"/>
        </w:rPr>
        <w:t xml:space="preserve"> </w:t>
      </w:r>
      <w:r>
        <w:rPr>
          <w:lang w:val="en-US"/>
        </w:rPr>
        <w:t>project</w:t>
      </w:r>
      <w:r w:rsidRPr="007D1A6F">
        <w:rPr>
          <w:lang w:val="en-US"/>
        </w:rPr>
        <w:t xml:space="preserve"> </w:t>
      </w:r>
      <w:r>
        <w:rPr>
          <w:lang w:val="en-US"/>
        </w:rPr>
        <w:t>shall</w:t>
      </w:r>
      <w:r w:rsidRPr="007D1A6F">
        <w:rPr>
          <w:lang w:val="en-US"/>
        </w:rPr>
        <w:t xml:space="preserve"> </w:t>
      </w:r>
      <w:r>
        <w:rPr>
          <w:lang w:val="en-US"/>
        </w:rPr>
        <w:t>be</w:t>
      </w:r>
      <w:r w:rsidRPr="007D1A6F">
        <w:rPr>
          <w:lang w:val="en-US"/>
        </w:rPr>
        <w:t xml:space="preserve"> </w:t>
      </w:r>
      <w:r>
        <w:rPr>
          <w:lang w:val="en-US"/>
        </w:rPr>
        <w:t>assigned the E&amp;S risk rating correlated with one of the following categories</w:t>
      </w:r>
      <w:r w:rsidR="00F2456E" w:rsidRPr="007D1A6F">
        <w:rPr>
          <w:lang w:val="en-US"/>
        </w:rPr>
        <w:t xml:space="preserve">: </w:t>
      </w:r>
      <w:r w:rsidRPr="00AA6080">
        <w:rPr>
          <w:lang w:val="en-US"/>
        </w:rPr>
        <w:t xml:space="preserve">low, reduced, medium, </w:t>
      </w:r>
      <w:r>
        <w:rPr>
          <w:lang w:val="en-US"/>
        </w:rPr>
        <w:t>high</w:t>
      </w:r>
      <w:r w:rsidRPr="00AA6080">
        <w:rPr>
          <w:lang w:val="en-US"/>
        </w:rPr>
        <w:t xml:space="preserve">, </w:t>
      </w:r>
      <w:r>
        <w:rPr>
          <w:lang w:val="en-US"/>
        </w:rPr>
        <w:t xml:space="preserve">and </w:t>
      </w:r>
      <w:r w:rsidRPr="00AA6080">
        <w:rPr>
          <w:lang w:val="en-US"/>
        </w:rPr>
        <w:t>critica</w:t>
      </w:r>
      <w:r>
        <w:rPr>
          <w:lang w:val="en-US"/>
        </w:rPr>
        <w:t>l</w:t>
      </w:r>
      <w:r w:rsidR="00F2456E" w:rsidRPr="007D1A6F">
        <w:rPr>
          <w:lang w:val="en-US"/>
        </w:rPr>
        <w:t>.</w:t>
      </w:r>
    </w:p>
    <w:p w14:paraId="481FBF87" w14:textId="77777777" w:rsidR="00F2456E" w:rsidRPr="007D1A6F" w:rsidRDefault="007D1A6F" w:rsidP="00F2456E">
      <w:pPr>
        <w:pStyle w:val="a7"/>
        <w:numPr>
          <w:ilvl w:val="0"/>
          <w:numId w:val="1"/>
        </w:numPr>
        <w:spacing w:after="0" w:line="240" w:lineRule="auto"/>
        <w:ind w:left="0" w:firstLine="0"/>
        <w:jc w:val="both"/>
        <w:rPr>
          <w:lang w:val="en-US"/>
        </w:rPr>
      </w:pPr>
      <w:r w:rsidRPr="00170584">
        <w:rPr>
          <w:lang w:val="en-US"/>
        </w:rPr>
        <w:t xml:space="preserve">The Bank </w:t>
      </w:r>
      <w:r>
        <w:rPr>
          <w:lang w:val="en-US"/>
        </w:rPr>
        <w:t xml:space="preserve">shall provide </w:t>
      </w:r>
      <w:r w:rsidRPr="00170584">
        <w:rPr>
          <w:lang w:val="en-US"/>
        </w:rPr>
        <w:t>finances</w:t>
      </w:r>
      <w:r>
        <w:rPr>
          <w:lang w:val="en-US"/>
        </w:rPr>
        <w:t xml:space="preserve"> to</w:t>
      </w:r>
      <w:r w:rsidRPr="00170584">
        <w:rPr>
          <w:lang w:val="en-US"/>
        </w:rPr>
        <w:t xml:space="preserve"> borrowers and/or projects with low and reduced E</w:t>
      </w:r>
      <w:r>
        <w:rPr>
          <w:lang w:val="en-US"/>
        </w:rPr>
        <w:t>&amp;</w:t>
      </w:r>
      <w:r w:rsidRPr="00170584">
        <w:rPr>
          <w:lang w:val="en-US"/>
        </w:rPr>
        <w:t>S</w:t>
      </w:r>
      <w:r>
        <w:rPr>
          <w:lang w:val="en-US"/>
        </w:rPr>
        <w:t xml:space="preserve"> risk ratings</w:t>
      </w:r>
      <w:r w:rsidRPr="00170584">
        <w:rPr>
          <w:lang w:val="en-US"/>
        </w:rPr>
        <w:t xml:space="preserve"> in accordance with the standard internal procedure and </w:t>
      </w:r>
      <w:r>
        <w:rPr>
          <w:lang w:val="en-US"/>
        </w:rPr>
        <w:t>the Bank’s</w:t>
      </w:r>
      <w:r w:rsidRPr="00170584">
        <w:rPr>
          <w:lang w:val="en-US"/>
        </w:rPr>
        <w:t xml:space="preserve"> Lending and Credit Risk Management Policy. The</w:t>
      </w:r>
      <w:r w:rsidRPr="007D1A6F">
        <w:rPr>
          <w:lang w:val="en-US"/>
        </w:rPr>
        <w:t xml:space="preserve"> </w:t>
      </w:r>
      <w:r>
        <w:rPr>
          <w:lang w:val="en-US"/>
        </w:rPr>
        <w:t>E</w:t>
      </w:r>
      <w:r w:rsidRPr="007D1A6F">
        <w:rPr>
          <w:lang w:val="en-US"/>
        </w:rPr>
        <w:t>&amp;</w:t>
      </w:r>
      <w:r>
        <w:rPr>
          <w:lang w:val="en-US"/>
        </w:rPr>
        <w:t>S</w:t>
      </w:r>
      <w:r w:rsidRPr="007D1A6F">
        <w:rPr>
          <w:lang w:val="en-US"/>
        </w:rPr>
        <w:t xml:space="preserve"> </w:t>
      </w:r>
      <w:r>
        <w:rPr>
          <w:lang w:val="en-US"/>
        </w:rPr>
        <w:t>risk</w:t>
      </w:r>
      <w:r w:rsidRPr="007D1A6F">
        <w:rPr>
          <w:lang w:val="en-US"/>
        </w:rPr>
        <w:t xml:space="preserve"> </w:t>
      </w:r>
      <w:r>
        <w:rPr>
          <w:lang w:val="en-US"/>
        </w:rPr>
        <w:t>rating</w:t>
      </w:r>
      <w:r w:rsidRPr="007D1A6F">
        <w:rPr>
          <w:lang w:val="en-US"/>
        </w:rPr>
        <w:t xml:space="preserve"> </w:t>
      </w:r>
      <w:r>
        <w:rPr>
          <w:lang w:val="en-US"/>
        </w:rPr>
        <w:t>shall</w:t>
      </w:r>
      <w:r w:rsidRPr="007D1A6F">
        <w:rPr>
          <w:lang w:val="en-US"/>
        </w:rPr>
        <w:t xml:space="preserve"> </w:t>
      </w:r>
      <w:r>
        <w:rPr>
          <w:lang w:val="en-US"/>
        </w:rPr>
        <w:t>be</w:t>
      </w:r>
      <w:r w:rsidRPr="007D1A6F">
        <w:rPr>
          <w:lang w:val="en-US"/>
        </w:rPr>
        <w:t xml:space="preserve"> </w:t>
      </w:r>
      <w:r w:rsidRPr="00170584">
        <w:rPr>
          <w:lang w:val="en-US"/>
        </w:rPr>
        <w:t>reassessed</w:t>
      </w:r>
      <w:r w:rsidRPr="007D1A6F">
        <w:rPr>
          <w:lang w:val="en-US"/>
        </w:rPr>
        <w:t xml:space="preserve"> </w:t>
      </w:r>
      <w:r w:rsidRPr="00170584">
        <w:rPr>
          <w:lang w:val="en-US"/>
        </w:rPr>
        <w:t>at</w:t>
      </w:r>
      <w:r w:rsidRPr="007D1A6F">
        <w:rPr>
          <w:lang w:val="en-US"/>
        </w:rPr>
        <w:t xml:space="preserve"> </w:t>
      </w:r>
      <w:r w:rsidRPr="00170584">
        <w:rPr>
          <w:lang w:val="en-US"/>
        </w:rPr>
        <w:t>least</w:t>
      </w:r>
      <w:r w:rsidRPr="007D1A6F">
        <w:rPr>
          <w:lang w:val="en-US"/>
        </w:rPr>
        <w:t xml:space="preserve"> </w:t>
      </w:r>
      <w:r w:rsidRPr="00170584">
        <w:rPr>
          <w:lang w:val="en-US"/>
        </w:rPr>
        <w:t>once</w:t>
      </w:r>
      <w:r w:rsidRPr="007D1A6F">
        <w:rPr>
          <w:lang w:val="en-US"/>
        </w:rPr>
        <w:t xml:space="preserve"> </w:t>
      </w:r>
      <w:r w:rsidRPr="00170584">
        <w:rPr>
          <w:lang w:val="en-US"/>
        </w:rPr>
        <w:t>a</w:t>
      </w:r>
      <w:r w:rsidRPr="007D1A6F">
        <w:rPr>
          <w:lang w:val="en-US"/>
        </w:rPr>
        <w:t xml:space="preserve"> </w:t>
      </w:r>
      <w:r w:rsidRPr="00170584">
        <w:rPr>
          <w:lang w:val="en-US"/>
        </w:rPr>
        <w:t>year</w:t>
      </w:r>
      <w:r w:rsidR="00F2456E" w:rsidRPr="007D1A6F">
        <w:rPr>
          <w:lang w:val="en-US"/>
        </w:rPr>
        <w:t>.</w:t>
      </w:r>
    </w:p>
    <w:p w14:paraId="05037257" w14:textId="77777777" w:rsidR="00F2456E" w:rsidRPr="007D1A6F" w:rsidRDefault="007D1A6F" w:rsidP="00F2456E">
      <w:pPr>
        <w:pStyle w:val="a7"/>
        <w:numPr>
          <w:ilvl w:val="0"/>
          <w:numId w:val="1"/>
        </w:numPr>
        <w:spacing w:after="0" w:line="240" w:lineRule="auto"/>
        <w:ind w:left="0" w:firstLine="0"/>
        <w:jc w:val="both"/>
        <w:rPr>
          <w:lang w:val="en-US"/>
        </w:rPr>
      </w:pPr>
      <w:r>
        <w:rPr>
          <w:lang w:val="en-US"/>
        </w:rPr>
        <w:t>B</w:t>
      </w:r>
      <w:r w:rsidRPr="00170584">
        <w:rPr>
          <w:lang w:val="en-US"/>
        </w:rPr>
        <w:t xml:space="preserve">orrowers and/or projects </w:t>
      </w:r>
      <w:r>
        <w:rPr>
          <w:lang w:val="en-US"/>
        </w:rPr>
        <w:t xml:space="preserve">assigned </w:t>
      </w:r>
      <w:r w:rsidRPr="00170584">
        <w:rPr>
          <w:lang w:val="en-US"/>
        </w:rPr>
        <w:t xml:space="preserve">with medium, </w:t>
      </w:r>
      <w:r>
        <w:rPr>
          <w:lang w:val="en-US"/>
        </w:rPr>
        <w:t>high</w:t>
      </w:r>
      <w:r w:rsidRPr="00170584">
        <w:rPr>
          <w:lang w:val="en-US"/>
        </w:rPr>
        <w:t xml:space="preserve"> and critical </w:t>
      </w:r>
      <w:r>
        <w:rPr>
          <w:lang w:val="en-US"/>
        </w:rPr>
        <w:t>E&amp;S risk ratings</w:t>
      </w:r>
      <w:r w:rsidRPr="00170584">
        <w:rPr>
          <w:lang w:val="en-US"/>
        </w:rPr>
        <w:t xml:space="preserve"> </w:t>
      </w:r>
      <w:r>
        <w:rPr>
          <w:lang w:val="en-US"/>
        </w:rPr>
        <w:t>shall be financed</w:t>
      </w:r>
      <w:r w:rsidRPr="00170584">
        <w:rPr>
          <w:lang w:val="en-US"/>
        </w:rPr>
        <w:t xml:space="preserve"> subject to </w:t>
      </w:r>
      <w:r>
        <w:rPr>
          <w:lang w:val="en-US"/>
        </w:rPr>
        <w:t xml:space="preserve">detailed </w:t>
      </w:r>
      <w:r w:rsidRPr="00170584">
        <w:rPr>
          <w:lang w:val="en-US"/>
        </w:rPr>
        <w:t>analyses (beyond standard internal procedures) that include</w:t>
      </w:r>
      <w:r>
        <w:rPr>
          <w:lang w:val="en-US"/>
        </w:rPr>
        <w:t>s</w:t>
      </w:r>
      <w:r w:rsidR="00F2456E" w:rsidRPr="007D1A6F">
        <w:rPr>
          <w:lang w:val="en-US"/>
        </w:rPr>
        <w:t>:</w:t>
      </w:r>
    </w:p>
    <w:p w14:paraId="70463457" w14:textId="77777777" w:rsidR="00F2456E" w:rsidRPr="00FE6633" w:rsidRDefault="007D1A6F" w:rsidP="00F2456E">
      <w:pPr>
        <w:pStyle w:val="a7"/>
        <w:numPr>
          <w:ilvl w:val="0"/>
          <w:numId w:val="8"/>
        </w:numPr>
        <w:spacing w:after="0"/>
        <w:ind w:left="709" w:hanging="283"/>
        <w:jc w:val="both"/>
        <w:rPr>
          <w:lang w:val="kk-KZ"/>
        </w:rPr>
      </w:pPr>
      <w:r w:rsidRPr="00170584">
        <w:t>identif</w:t>
      </w:r>
      <w:r>
        <w:t>ication of additional covenants</w:t>
      </w:r>
      <w:r w:rsidR="00F2456E" w:rsidRPr="00FE6633">
        <w:rPr>
          <w:lang w:val="kk-KZ"/>
        </w:rPr>
        <w:t>;</w:t>
      </w:r>
    </w:p>
    <w:p w14:paraId="5052EB69" w14:textId="77777777" w:rsidR="00F2456E" w:rsidRPr="00FE6633" w:rsidRDefault="007D1A6F" w:rsidP="00F2456E">
      <w:pPr>
        <w:pStyle w:val="a7"/>
        <w:numPr>
          <w:ilvl w:val="0"/>
          <w:numId w:val="8"/>
        </w:numPr>
        <w:spacing w:after="0"/>
        <w:ind w:left="709" w:hanging="283"/>
        <w:jc w:val="both"/>
        <w:rPr>
          <w:lang w:val="kk-KZ"/>
        </w:rPr>
      </w:pPr>
      <w:r w:rsidRPr="00170584">
        <w:rPr>
          <w:lang w:val="en-US"/>
        </w:rPr>
        <w:t>development of a roadmap for implementing adaptation initiatives</w:t>
      </w:r>
      <w:r w:rsidR="00F2456E" w:rsidRPr="00FE6633">
        <w:rPr>
          <w:lang w:val="kk-KZ"/>
        </w:rPr>
        <w:t>;</w:t>
      </w:r>
    </w:p>
    <w:p w14:paraId="181DF416" w14:textId="77777777" w:rsidR="00F2456E" w:rsidRPr="00FE6633" w:rsidRDefault="007D1A6F" w:rsidP="00F2456E">
      <w:pPr>
        <w:pStyle w:val="a7"/>
        <w:numPr>
          <w:ilvl w:val="0"/>
          <w:numId w:val="8"/>
        </w:numPr>
        <w:spacing w:after="0"/>
        <w:ind w:left="709" w:hanging="283"/>
        <w:jc w:val="both"/>
        <w:rPr>
          <w:lang w:val="kk-KZ"/>
        </w:rPr>
      </w:pPr>
      <w:r w:rsidRPr="00170584">
        <w:rPr>
          <w:lang w:val="en-US"/>
        </w:rPr>
        <w:t>implementation of measures to minimi</w:t>
      </w:r>
      <w:r>
        <w:rPr>
          <w:lang w:val="en-US"/>
        </w:rPr>
        <w:t>z</w:t>
      </w:r>
      <w:r w:rsidRPr="00170584">
        <w:rPr>
          <w:lang w:val="en-US"/>
        </w:rPr>
        <w:t xml:space="preserve">e </w:t>
      </w:r>
      <w:r>
        <w:rPr>
          <w:lang w:val="en-US"/>
        </w:rPr>
        <w:t>climate risk exposure</w:t>
      </w:r>
      <w:r w:rsidR="00F2456E" w:rsidRPr="00FE6633">
        <w:rPr>
          <w:lang w:val="kk-KZ"/>
        </w:rPr>
        <w:t>.</w:t>
      </w:r>
    </w:p>
    <w:p w14:paraId="5029BAC5" w14:textId="77777777" w:rsidR="00F2456E" w:rsidRPr="007D1A6F" w:rsidRDefault="007D1A6F" w:rsidP="00F2456E">
      <w:pPr>
        <w:pStyle w:val="a7"/>
        <w:numPr>
          <w:ilvl w:val="0"/>
          <w:numId w:val="1"/>
        </w:numPr>
        <w:spacing w:after="0" w:line="240" w:lineRule="auto"/>
        <w:ind w:left="0" w:firstLine="0"/>
        <w:jc w:val="both"/>
        <w:rPr>
          <w:lang w:val="kk-KZ"/>
        </w:rPr>
      </w:pPr>
      <w:r w:rsidRPr="007D1A6F">
        <w:rPr>
          <w:lang w:val="kk-KZ"/>
        </w:rPr>
        <w:lastRenderedPageBreak/>
        <w:t>The E&amp;S risk rating shall be reassessed for borrowers and/or projects assigned with medium and high level once every 6 months, with critical level - once every 3 months</w:t>
      </w:r>
      <w:r w:rsidR="00F2456E" w:rsidRPr="007D1A6F">
        <w:rPr>
          <w:lang w:val="kk-KZ"/>
        </w:rPr>
        <w:t>.</w:t>
      </w:r>
    </w:p>
    <w:p w14:paraId="6BEEFC0B" w14:textId="77777777" w:rsidR="00F2456E" w:rsidRPr="005150D1" w:rsidRDefault="00F2456E" w:rsidP="00F2456E">
      <w:pPr>
        <w:pStyle w:val="2"/>
        <w:rPr>
          <w:lang w:val="kk-KZ"/>
        </w:rPr>
      </w:pPr>
      <w:bookmarkStart w:id="21" w:name="_Toc136446384"/>
      <w:bookmarkStart w:id="22" w:name="_Toc139019043"/>
      <w:bookmarkStart w:id="23" w:name="_Toc139290504"/>
      <w:bookmarkStart w:id="24" w:name="_Toc139473420"/>
      <w:bookmarkStart w:id="25" w:name="_Toc199501409"/>
      <w:r w:rsidRPr="005150D1">
        <w:rPr>
          <w:lang w:val="kk-KZ"/>
        </w:rPr>
        <w:t xml:space="preserve">3.2. </w:t>
      </w:r>
      <w:r w:rsidR="00292224" w:rsidRPr="005150D1">
        <w:rPr>
          <w:lang w:val="kk-KZ"/>
        </w:rPr>
        <w:t xml:space="preserve">Organizational </w:t>
      </w:r>
      <w:r w:rsidR="005150D1" w:rsidRPr="005150D1">
        <w:rPr>
          <w:lang w:val="kk-KZ"/>
        </w:rPr>
        <w:t xml:space="preserve">Structure for </w:t>
      </w:r>
      <w:r w:rsidR="00292224" w:rsidRPr="005150D1">
        <w:rPr>
          <w:lang w:val="kk-KZ"/>
        </w:rPr>
        <w:t xml:space="preserve">Sustainable Finance </w:t>
      </w:r>
      <w:r w:rsidR="005150D1" w:rsidRPr="005150D1">
        <w:rPr>
          <w:lang w:val="kk-KZ"/>
        </w:rPr>
        <w:t>Managemen</w:t>
      </w:r>
      <w:r w:rsidR="005150D1">
        <w:rPr>
          <w:lang w:val="en-US"/>
        </w:rPr>
        <w:t>t</w:t>
      </w:r>
      <w:bookmarkEnd w:id="21"/>
      <w:bookmarkEnd w:id="22"/>
      <w:bookmarkEnd w:id="23"/>
      <w:bookmarkEnd w:id="24"/>
      <w:bookmarkEnd w:id="25"/>
    </w:p>
    <w:p w14:paraId="4A482217" w14:textId="77777777" w:rsidR="00F2456E" w:rsidRPr="005150D1" w:rsidRDefault="005150D1" w:rsidP="00F2456E">
      <w:pPr>
        <w:pStyle w:val="a7"/>
        <w:numPr>
          <w:ilvl w:val="0"/>
          <w:numId w:val="1"/>
        </w:numPr>
        <w:spacing w:after="0" w:line="240" w:lineRule="auto"/>
        <w:ind w:left="0" w:firstLine="0"/>
        <w:jc w:val="both"/>
        <w:rPr>
          <w:lang w:val="kk-KZ"/>
        </w:rPr>
      </w:pPr>
      <w:r w:rsidRPr="005150D1">
        <w:rPr>
          <w:lang w:val="kk-KZ"/>
        </w:rPr>
        <w:t>The Bank has a multi-tier structure for sustainable finance management structure, which distributes lending-related powers between collegial bodies and structural subdivisions</w:t>
      </w:r>
      <w:r w:rsidR="00F2456E" w:rsidRPr="000E6DAE">
        <w:rPr>
          <w:lang w:val="kk-KZ"/>
        </w:rPr>
        <w:t>:</w:t>
      </w:r>
    </w:p>
    <w:p w14:paraId="4C509C01" w14:textId="77777777" w:rsidR="00F2456E" w:rsidRPr="005150D1" w:rsidRDefault="005150D1" w:rsidP="00F2456E">
      <w:pPr>
        <w:pStyle w:val="a7"/>
        <w:numPr>
          <w:ilvl w:val="0"/>
          <w:numId w:val="5"/>
        </w:numPr>
        <w:spacing w:after="0" w:line="240" w:lineRule="auto"/>
        <w:ind w:left="709" w:hanging="283"/>
        <w:jc w:val="both"/>
        <w:rPr>
          <w:lang w:val="en-US"/>
        </w:rPr>
      </w:pPr>
      <w:r>
        <w:rPr>
          <w:lang w:val="en-US"/>
        </w:rPr>
        <w:t>the Bank</w:t>
      </w:r>
      <w:r w:rsidR="005E36EC">
        <w:rPr>
          <w:lang w:val="en-US"/>
        </w:rPr>
        <w:t>’</w:t>
      </w:r>
      <w:r w:rsidRPr="00226BA6">
        <w:rPr>
          <w:lang w:val="en-US"/>
        </w:rPr>
        <w:t>s Board of Directors</w:t>
      </w:r>
      <w:r w:rsidR="00F2456E" w:rsidRPr="000E6DAE">
        <w:rPr>
          <w:lang w:val="kk-KZ"/>
        </w:rPr>
        <w:t>;</w:t>
      </w:r>
    </w:p>
    <w:p w14:paraId="4B7DAF6D" w14:textId="77777777" w:rsidR="00F2456E" w:rsidRPr="005E36EC" w:rsidRDefault="005150D1" w:rsidP="00F2456E">
      <w:pPr>
        <w:pStyle w:val="a7"/>
        <w:numPr>
          <w:ilvl w:val="0"/>
          <w:numId w:val="5"/>
        </w:numPr>
        <w:spacing w:after="0" w:line="240" w:lineRule="auto"/>
        <w:ind w:left="709" w:hanging="283"/>
        <w:jc w:val="both"/>
        <w:rPr>
          <w:lang w:val="en-US"/>
        </w:rPr>
      </w:pPr>
      <w:r>
        <w:rPr>
          <w:lang w:val="en-US"/>
        </w:rPr>
        <w:t>C</w:t>
      </w:r>
      <w:r w:rsidRPr="00226BA6">
        <w:rPr>
          <w:lang w:val="kk-KZ"/>
        </w:rPr>
        <w:t xml:space="preserve">ommittees </w:t>
      </w:r>
      <w:r>
        <w:rPr>
          <w:lang w:val="en-US"/>
        </w:rPr>
        <w:t>of</w:t>
      </w:r>
      <w:r w:rsidRPr="00226BA6">
        <w:rPr>
          <w:lang w:val="kk-KZ"/>
        </w:rPr>
        <w:t xml:space="preserve"> the Board</w:t>
      </w:r>
      <w:r w:rsidR="005E36EC">
        <w:rPr>
          <w:lang w:val="en-US"/>
        </w:rPr>
        <w:t xml:space="preserve"> of</w:t>
      </w:r>
      <w:r w:rsidR="005E36EC">
        <w:rPr>
          <w:lang w:val="kk-KZ"/>
        </w:rPr>
        <w:t xml:space="preserve"> </w:t>
      </w:r>
      <w:r w:rsidR="005E36EC">
        <w:rPr>
          <w:lang w:val="en-US"/>
        </w:rPr>
        <w:t>Directors</w:t>
      </w:r>
      <w:r w:rsidRPr="00226BA6">
        <w:rPr>
          <w:lang w:val="kk-KZ"/>
        </w:rPr>
        <w:t xml:space="preserve">: </w:t>
      </w:r>
      <w:r>
        <w:rPr>
          <w:lang w:val="en-US"/>
        </w:rPr>
        <w:t>Sustainable</w:t>
      </w:r>
      <w:r w:rsidRPr="005E36EC">
        <w:rPr>
          <w:lang w:val="en-US"/>
        </w:rPr>
        <w:t xml:space="preserve"> </w:t>
      </w:r>
      <w:r>
        <w:rPr>
          <w:lang w:val="en-US"/>
        </w:rPr>
        <w:t>Development</w:t>
      </w:r>
      <w:r w:rsidRPr="005E36EC">
        <w:rPr>
          <w:lang w:val="en-US"/>
        </w:rPr>
        <w:t xml:space="preserve"> </w:t>
      </w:r>
      <w:r>
        <w:rPr>
          <w:lang w:val="en-US"/>
        </w:rPr>
        <w:t>Committee</w:t>
      </w:r>
      <w:r w:rsidRPr="005E36EC">
        <w:rPr>
          <w:lang w:val="en-US"/>
        </w:rPr>
        <w:t xml:space="preserve">, </w:t>
      </w:r>
      <w:r>
        <w:rPr>
          <w:lang w:val="en-US"/>
        </w:rPr>
        <w:t>Credit</w:t>
      </w:r>
      <w:r>
        <w:rPr>
          <w:lang w:val="kk-KZ"/>
        </w:rPr>
        <w:t xml:space="preserve"> Committee</w:t>
      </w:r>
      <w:r w:rsidR="00F2456E" w:rsidRPr="005E36EC">
        <w:rPr>
          <w:lang w:val="en-US"/>
        </w:rPr>
        <w:t>;</w:t>
      </w:r>
    </w:p>
    <w:p w14:paraId="2FBFB301" w14:textId="77777777" w:rsidR="00F2456E" w:rsidRPr="000E6DAE" w:rsidRDefault="005E36EC" w:rsidP="00F2456E">
      <w:pPr>
        <w:pStyle w:val="a7"/>
        <w:numPr>
          <w:ilvl w:val="0"/>
          <w:numId w:val="5"/>
        </w:numPr>
        <w:spacing w:after="0" w:line="240" w:lineRule="auto"/>
        <w:ind w:left="709" w:hanging="283"/>
        <w:jc w:val="both"/>
      </w:pPr>
      <w:r>
        <w:rPr>
          <w:lang w:val="en-US"/>
        </w:rPr>
        <w:t>the Bank’</w:t>
      </w:r>
      <w:r w:rsidRPr="00226BA6">
        <w:rPr>
          <w:lang w:val="en-US"/>
        </w:rPr>
        <w:t xml:space="preserve">s </w:t>
      </w:r>
      <w:r>
        <w:rPr>
          <w:lang w:val="en-US"/>
        </w:rPr>
        <w:t>Management Board</w:t>
      </w:r>
      <w:r w:rsidR="00F2456E" w:rsidRPr="000E6DAE">
        <w:rPr>
          <w:lang w:val="kk-KZ"/>
        </w:rPr>
        <w:t>;</w:t>
      </w:r>
    </w:p>
    <w:p w14:paraId="6842EF00" w14:textId="77777777" w:rsidR="00F2456E" w:rsidRPr="005E36EC" w:rsidRDefault="005E36EC" w:rsidP="00F2456E">
      <w:pPr>
        <w:pStyle w:val="a7"/>
        <w:numPr>
          <w:ilvl w:val="0"/>
          <w:numId w:val="5"/>
        </w:numPr>
        <w:spacing w:after="0" w:line="240" w:lineRule="auto"/>
        <w:ind w:left="709" w:hanging="283"/>
        <w:jc w:val="both"/>
        <w:rPr>
          <w:lang w:val="en-US"/>
        </w:rPr>
      </w:pPr>
      <w:r>
        <w:rPr>
          <w:lang w:val="en-US"/>
        </w:rPr>
        <w:t>C</w:t>
      </w:r>
      <w:r w:rsidRPr="00226BA6">
        <w:rPr>
          <w:lang w:val="kk-KZ"/>
        </w:rPr>
        <w:t xml:space="preserve">ommittees </w:t>
      </w:r>
      <w:r>
        <w:rPr>
          <w:lang w:val="en-US"/>
        </w:rPr>
        <w:t>of</w:t>
      </w:r>
      <w:r w:rsidRPr="00226BA6">
        <w:rPr>
          <w:lang w:val="kk-KZ"/>
        </w:rPr>
        <w:t xml:space="preserve"> the Management Board: Risk Management Committee</w:t>
      </w:r>
      <w:r>
        <w:rPr>
          <w:lang w:val="en-US"/>
        </w:rPr>
        <w:t>, Credit Committees</w:t>
      </w:r>
      <w:r w:rsidR="00F2456E" w:rsidRPr="005E36EC">
        <w:rPr>
          <w:lang w:val="en-US"/>
        </w:rPr>
        <w:t>;</w:t>
      </w:r>
    </w:p>
    <w:p w14:paraId="6AD7B155" w14:textId="77777777" w:rsidR="00F2456E" w:rsidRPr="005E36EC" w:rsidRDefault="005E36EC" w:rsidP="00F2456E">
      <w:pPr>
        <w:pStyle w:val="a7"/>
        <w:numPr>
          <w:ilvl w:val="0"/>
          <w:numId w:val="5"/>
        </w:numPr>
        <w:spacing w:after="0" w:line="240" w:lineRule="auto"/>
        <w:ind w:left="709" w:hanging="283"/>
        <w:jc w:val="both"/>
        <w:rPr>
          <w:lang w:val="en-US"/>
        </w:rPr>
      </w:pPr>
      <w:r>
        <w:rPr>
          <w:lang w:val="en-US"/>
        </w:rPr>
        <w:t xml:space="preserve">an </w:t>
      </w:r>
      <w:r w:rsidRPr="00226BA6">
        <w:rPr>
          <w:lang w:val="en-US"/>
        </w:rPr>
        <w:t>automated decision-making system</w:t>
      </w:r>
      <w:r w:rsidR="00F2456E" w:rsidRPr="005E36EC">
        <w:rPr>
          <w:lang w:val="en-US"/>
        </w:rPr>
        <w:t>;</w:t>
      </w:r>
    </w:p>
    <w:p w14:paraId="6FBAFE04" w14:textId="77777777" w:rsidR="00F2456E" w:rsidRPr="000E6DAE" w:rsidRDefault="005E36EC" w:rsidP="00F2456E">
      <w:pPr>
        <w:pStyle w:val="a7"/>
        <w:numPr>
          <w:ilvl w:val="0"/>
          <w:numId w:val="5"/>
        </w:numPr>
        <w:spacing w:after="0" w:line="240" w:lineRule="auto"/>
        <w:ind w:left="709" w:hanging="283"/>
        <w:jc w:val="both"/>
        <w:rPr>
          <w:lang w:val="kk-KZ"/>
        </w:rPr>
      </w:pPr>
      <w:r>
        <w:rPr>
          <w:lang w:val="en-US"/>
        </w:rPr>
        <w:t>the Bank</w:t>
      </w:r>
      <w:r w:rsidRPr="00226BA6">
        <w:rPr>
          <w:lang w:val="en-US"/>
        </w:rPr>
        <w:t xml:space="preserve"> </w:t>
      </w:r>
      <w:r>
        <w:rPr>
          <w:lang w:val="en-US"/>
        </w:rPr>
        <w:t>sub</w:t>
      </w:r>
      <w:r w:rsidRPr="00226BA6">
        <w:rPr>
          <w:lang w:val="kk-KZ"/>
        </w:rPr>
        <w:t xml:space="preserve">divisions </w:t>
      </w:r>
      <w:r>
        <w:rPr>
          <w:lang w:val="en-US"/>
        </w:rPr>
        <w:t>re</w:t>
      </w:r>
      <w:r>
        <w:rPr>
          <w:lang w:val="kk-KZ"/>
        </w:rPr>
        <w:t>sponsible for organi</w:t>
      </w:r>
      <w:r>
        <w:rPr>
          <w:lang w:val="en-US"/>
        </w:rPr>
        <w:t>z</w:t>
      </w:r>
      <w:r w:rsidRPr="00226BA6">
        <w:rPr>
          <w:lang w:val="kk-KZ"/>
        </w:rPr>
        <w:t>ation and coordination of activities aimed at the Bank</w:t>
      </w:r>
      <w:r w:rsidR="00B850C5">
        <w:rPr>
          <w:lang w:val="en-US"/>
        </w:rPr>
        <w:t>’</w:t>
      </w:r>
      <w:r w:rsidRPr="00226BA6">
        <w:rPr>
          <w:lang w:val="kk-KZ"/>
        </w:rPr>
        <w:t>s compliance with the sustainable development principles</w:t>
      </w:r>
      <w:r w:rsidR="00F2456E">
        <w:rPr>
          <w:lang w:val="kk-KZ"/>
        </w:rPr>
        <w:t>;</w:t>
      </w:r>
    </w:p>
    <w:p w14:paraId="73AFCE45" w14:textId="77777777" w:rsidR="00F2456E" w:rsidRPr="005E36EC" w:rsidRDefault="005E36EC" w:rsidP="00F2456E">
      <w:pPr>
        <w:pStyle w:val="a7"/>
        <w:numPr>
          <w:ilvl w:val="0"/>
          <w:numId w:val="5"/>
        </w:numPr>
        <w:spacing w:after="0" w:line="240" w:lineRule="auto"/>
        <w:ind w:left="709" w:hanging="283"/>
        <w:jc w:val="both"/>
        <w:rPr>
          <w:lang w:val="en-US"/>
        </w:rPr>
      </w:pPr>
      <w:r w:rsidRPr="00226BA6">
        <w:rPr>
          <w:lang w:val="kk-KZ"/>
        </w:rPr>
        <w:t xml:space="preserve">the Bank subdivisions involved in </w:t>
      </w:r>
      <w:r>
        <w:rPr>
          <w:lang w:val="en-US"/>
        </w:rPr>
        <w:t>the lending</w:t>
      </w:r>
      <w:r w:rsidRPr="00226BA6">
        <w:rPr>
          <w:lang w:val="kk-KZ"/>
        </w:rPr>
        <w:t xml:space="preserve"> processes</w:t>
      </w:r>
      <w:r w:rsidR="00F2456E" w:rsidRPr="005E36EC">
        <w:rPr>
          <w:lang w:val="en-US"/>
        </w:rPr>
        <w:t>.</w:t>
      </w:r>
    </w:p>
    <w:p w14:paraId="3A891FC8" w14:textId="77777777" w:rsidR="00F2456E" w:rsidRPr="00B850C5" w:rsidRDefault="00B850C5" w:rsidP="00F2456E">
      <w:pPr>
        <w:pStyle w:val="a7"/>
        <w:numPr>
          <w:ilvl w:val="0"/>
          <w:numId w:val="7"/>
        </w:numPr>
        <w:spacing w:after="0" w:line="240" w:lineRule="auto"/>
        <w:ind w:left="0" w:firstLine="0"/>
        <w:jc w:val="both"/>
        <w:rPr>
          <w:rStyle w:val="s19"/>
          <w:rFonts w:cstheme="minorBidi"/>
          <w:color w:val="auto"/>
          <w:lang w:val="en-US"/>
        </w:rPr>
      </w:pPr>
      <w:r w:rsidRPr="00B850C5">
        <w:rPr>
          <w:kern w:val="2"/>
          <w:lang w:val="en-US"/>
        </w:rPr>
        <w:t xml:space="preserve">The Board of Directors </w:t>
      </w:r>
      <w:r>
        <w:rPr>
          <w:kern w:val="2"/>
          <w:lang w:val="en-US"/>
        </w:rPr>
        <w:t xml:space="preserve">shall take </w:t>
      </w:r>
      <w:r w:rsidRPr="00B850C5">
        <w:rPr>
          <w:kern w:val="2"/>
          <w:lang w:val="en-US"/>
        </w:rPr>
        <w:t>deci</w:t>
      </w:r>
      <w:r>
        <w:rPr>
          <w:kern w:val="2"/>
          <w:lang w:val="en-US"/>
        </w:rPr>
        <w:t>sions</w:t>
      </w:r>
      <w:r w:rsidRPr="00B850C5">
        <w:rPr>
          <w:kern w:val="2"/>
          <w:lang w:val="en-US"/>
        </w:rPr>
        <w:t xml:space="preserve"> on environmental and social issues related to granting a loan and (or) other financial instruments </w:t>
      </w:r>
      <w:r>
        <w:rPr>
          <w:kern w:val="2"/>
          <w:lang w:val="en-US"/>
        </w:rPr>
        <w:t>in the amount</w:t>
      </w:r>
      <w:r w:rsidRPr="00B850C5">
        <w:rPr>
          <w:kern w:val="2"/>
          <w:lang w:val="en-US"/>
        </w:rPr>
        <w:t xml:space="preserve"> exceedin</w:t>
      </w:r>
      <w:r>
        <w:rPr>
          <w:kern w:val="2"/>
          <w:lang w:val="en-US"/>
        </w:rPr>
        <w:t>g 5 (five) percent of the Bank’</w:t>
      </w:r>
      <w:r w:rsidRPr="00B850C5">
        <w:rPr>
          <w:kern w:val="2"/>
          <w:lang w:val="en-US"/>
        </w:rPr>
        <w:t>s equity to a borrower</w:t>
      </w:r>
      <w:r>
        <w:rPr>
          <w:kern w:val="2"/>
          <w:lang w:val="en-US"/>
        </w:rPr>
        <w:t xml:space="preserve"> having </w:t>
      </w:r>
      <w:r w:rsidRPr="00B850C5">
        <w:rPr>
          <w:kern w:val="2"/>
          <w:lang w:val="en-US"/>
        </w:rPr>
        <w:t>a high environmental and social risk</w:t>
      </w:r>
      <w:r>
        <w:rPr>
          <w:kern w:val="2"/>
          <w:lang w:val="en-US"/>
        </w:rPr>
        <w:t xml:space="preserve"> rating</w:t>
      </w:r>
      <w:r w:rsidR="00F2456E" w:rsidRPr="00B850C5">
        <w:rPr>
          <w:rStyle w:val="s19"/>
          <w:color w:val="auto"/>
          <w:lang w:val="en-US"/>
        </w:rPr>
        <w:t>.</w:t>
      </w:r>
    </w:p>
    <w:p w14:paraId="39951918" w14:textId="6133DD4D" w:rsidR="00F2456E" w:rsidRPr="00B850C5" w:rsidRDefault="00B850C5" w:rsidP="00F2456E">
      <w:pPr>
        <w:pStyle w:val="a7"/>
        <w:numPr>
          <w:ilvl w:val="0"/>
          <w:numId w:val="7"/>
        </w:numPr>
        <w:spacing w:after="0" w:line="240" w:lineRule="auto"/>
        <w:ind w:left="0" w:firstLine="0"/>
        <w:jc w:val="both"/>
        <w:rPr>
          <w:lang w:val="en-US"/>
        </w:rPr>
      </w:pPr>
      <w:r w:rsidRPr="00B850C5">
        <w:rPr>
          <w:lang w:val="en-US"/>
        </w:rPr>
        <w:t>The Management Board shall ensure implementation of the Policy, a</w:t>
      </w:r>
      <w:r>
        <w:rPr>
          <w:lang w:val="en-US"/>
        </w:rPr>
        <w:t xml:space="preserve">nd availability </w:t>
      </w:r>
      <w:r w:rsidRPr="00B850C5">
        <w:rPr>
          <w:lang w:val="en-US"/>
        </w:rPr>
        <w:t>of internal reg</w:t>
      </w:r>
      <w:r>
        <w:rPr>
          <w:lang w:val="en-US"/>
        </w:rPr>
        <w:t xml:space="preserve">ulatory documents </w:t>
      </w:r>
      <w:r w:rsidR="00AA554A">
        <w:rPr>
          <w:lang w:val="en-US"/>
        </w:rPr>
        <w:t xml:space="preserve">that </w:t>
      </w:r>
      <w:r>
        <w:rPr>
          <w:lang w:val="en-US"/>
        </w:rPr>
        <w:t xml:space="preserve">govern its business </w:t>
      </w:r>
      <w:r w:rsidRPr="00B850C5">
        <w:rPr>
          <w:lang w:val="en-US"/>
        </w:rPr>
        <w:t xml:space="preserve">processes and procedures carried out in accordance with the </w:t>
      </w:r>
      <w:r>
        <w:rPr>
          <w:lang w:val="en-US"/>
        </w:rPr>
        <w:t xml:space="preserve">Policy </w:t>
      </w:r>
      <w:r w:rsidRPr="00B850C5">
        <w:rPr>
          <w:lang w:val="en-US"/>
        </w:rPr>
        <w:t>principles</w:t>
      </w:r>
      <w:r w:rsidR="00F2456E" w:rsidRPr="00B850C5">
        <w:rPr>
          <w:lang w:val="en-US"/>
        </w:rPr>
        <w:t>.</w:t>
      </w:r>
    </w:p>
    <w:p w14:paraId="27F0749A" w14:textId="77777777" w:rsidR="00F2456E" w:rsidRPr="00B850C5" w:rsidRDefault="00B850C5" w:rsidP="00F2456E">
      <w:pPr>
        <w:pStyle w:val="a7"/>
        <w:numPr>
          <w:ilvl w:val="0"/>
          <w:numId w:val="7"/>
        </w:numPr>
        <w:spacing w:after="0" w:line="240" w:lineRule="auto"/>
        <w:ind w:left="0" w:firstLine="0"/>
        <w:jc w:val="both"/>
        <w:rPr>
          <w:lang w:val="en-US"/>
        </w:rPr>
      </w:pPr>
      <w:r w:rsidRPr="00226BA6">
        <w:rPr>
          <w:lang w:val="kk-KZ"/>
        </w:rPr>
        <w:t xml:space="preserve">Within the limits of authority granted by the Board of Directors, the Credit Committees and the automated decision-making system shall make funding decisions subject to </w:t>
      </w:r>
      <w:r w:rsidR="008C5ABA">
        <w:rPr>
          <w:lang w:val="en-US"/>
        </w:rPr>
        <w:t xml:space="preserve">the </w:t>
      </w:r>
      <w:r w:rsidRPr="00226BA6">
        <w:rPr>
          <w:lang w:val="kk-KZ"/>
        </w:rPr>
        <w:t>results of the borrower’s assessment for</w:t>
      </w:r>
      <w:r>
        <w:rPr>
          <w:lang w:val="en-US"/>
        </w:rPr>
        <w:t xml:space="preserve"> </w:t>
      </w:r>
      <w:r w:rsidRPr="00226BA6">
        <w:rPr>
          <w:lang w:val="kk-KZ"/>
        </w:rPr>
        <w:t>compliance with ESG principles, in accordance with the materiality thresholds</w:t>
      </w:r>
      <w:r w:rsidR="00F2456E" w:rsidRPr="00B850C5">
        <w:rPr>
          <w:lang w:val="en-US"/>
        </w:rPr>
        <w:t xml:space="preserve">. </w:t>
      </w:r>
    </w:p>
    <w:p w14:paraId="4EB60B57" w14:textId="77777777" w:rsidR="00F2456E" w:rsidRPr="008C5ABA" w:rsidRDefault="008C5ABA" w:rsidP="00F2456E">
      <w:pPr>
        <w:pStyle w:val="a7"/>
        <w:numPr>
          <w:ilvl w:val="0"/>
          <w:numId w:val="7"/>
        </w:numPr>
        <w:spacing w:after="0" w:line="240" w:lineRule="auto"/>
        <w:ind w:left="0" w:firstLine="0"/>
        <w:jc w:val="both"/>
        <w:rPr>
          <w:lang w:val="en-US"/>
        </w:rPr>
      </w:pPr>
      <w:r w:rsidRPr="00C64FB2">
        <w:rPr>
          <w:lang w:val="kk-KZ"/>
        </w:rPr>
        <w:t>Depending on the E</w:t>
      </w:r>
      <w:r>
        <w:rPr>
          <w:lang w:val="en-US"/>
        </w:rPr>
        <w:t>&amp;</w:t>
      </w:r>
      <w:r w:rsidRPr="00C64FB2">
        <w:rPr>
          <w:lang w:val="kk-KZ"/>
        </w:rPr>
        <w:t>S</w:t>
      </w:r>
      <w:r>
        <w:rPr>
          <w:lang w:val="en-US"/>
        </w:rPr>
        <w:t xml:space="preserve"> risk rating</w:t>
      </w:r>
      <w:r w:rsidRPr="00C64FB2">
        <w:rPr>
          <w:lang w:val="kk-KZ"/>
        </w:rPr>
        <w:t>, the Bank shall apply the following approaches when making credit decisions</w:t>
      </w:r>
      <w:r w:rsidR="00F2456E" w:rsidRPr="008C5ABA">
        <w:rPr>
          <w:lang w:val="en-US"/>
        </w:rPr>
        <w:t>:</w:t>
      </w:r>
    </w:p>
    <w:p w14:paraId="38DDE8D0" w14:textId="77777777" w:rsidR="00F2456E" w:rsidRPr="00FE6633" w:rsidRDefault="008C5ABA" w:rsidP="00F2456E">
      <w:pPr>
        <w:pStyle w:val="a7"/>
        <w:numPr>
          <w:ilvl w:val="0"/>
          <w:numId w:val="8"/>
        </w:numPr>
        <w:spacing w:after="0"/>
        <w:ind w:left="709" w:hanging="283"/>
        <w:jc w:val="both"/>
        <w:rPr>
          <w:lang w:val="kk-KZ"/>
        </w:rPr>
      </w:pPr>
      <w:r w:rsidRPr="00C64FB2">
        <w:rPr>
          <w:lang w:val="en-US"/>
        </w:rPr>
        <w:t>refus</w:t>
      </w:r>
      <w:r>
        <w:rPr>
          <w:lang w:val="en-US"/>
        </w:rPr>
        <w:t>e</w:t>
      </w:r>
      <w:r w:rsidRPr="00C64FB2">
        <w:rPr>
          <w:lang w:val="en-US"/>
        </w:rPr>
        <w:t xml:space="preserve"> to finance </w:t>
      </w:r>
      <w:r>
        <w:rPr>
          <w:lang w:val="en-US"/>
        </w:rPr>
        <w:t>ineligible</w:t>
      </w:r>
      <w:r w:rsidRPr="00C64FB2">
        <w:rPr>
          <w:lang w:val="en-US"/>
        </w:rPr>
        <w:t xml:space="preserve"> activities</w:t>
      </w:r>
      <w:r w:rsidR="00F2456E" w:rsidRPr="00FE6633">
        <w:rPr>
          <w:lang w:val="kk-KZ"/>
        </w:rPr>
        <w:t>;</w:t>
      </w:r>
    </w:p>
    <w:p w14:paraId="34395618" w14:textId="77777777" w:rsidR="00F2456E" w:rsidRPr="00FE6633" w:rsidRDefault="008C5ABA" w:rsidP="00F2456E">
      <w:pPr>
        <w:pStyle w:val="a7"/>
        <w:numPr>
          <w:ilvl w:val="0"/>
          <w:numId w:val="8"/>
        </w:numPr>
        <w:spacing w:after="0"/>
        <w:ind w:left="709" w:hanging="283"/>
        <w:jc w:val="both"/>
        <w:rPr>
          <w:lang w:val="kk-KZ"/>
        </w:rPr>
      </w:pPr>
      <w:r w:rsidRPr="008C5ABA">
        <w:rPr>
          <w:lang w:val="kk-KZ"/>
        </w:rPr>
        <w:t>escalate the decision-making level in cases of identified high or critical E&amp;S risk rating, without any corresponding customer obligations to mitigate</w:t>
      </w:r>
      <w:r w:rsidRPr="00FE6633">
        <w:rPr>
          <w:lang w:val="kk-KZ"/>
        </w:rPr>
        <w:t xml:space="preserve"> </w:t>
      </w:r>
      <w:r w:rsidRPr="008C5ABA">
        <w:rPr>
          <w:lang w:val="kk-KZ"/>
        </w:rPr>
        <w:t>them</w:t>
      </w:r>
      <w:r w:rsidR="00F2456E" w:rsidRPr="00FE6633">
        <w:rPr>
          <w:lang w:val="kk-KZ"/>
        </w:rPr>
        <w:t>;</w:t>
      </w:r>
    </w:p>
    <w:p w14:paraId="16A8AB17" w14:textId="77777777" w:rsidR="00F2456E" w:rsidRPr="008C5ABA" w:rsidRDefault="008C5ABA" w:rsidP="00F2456E">
      <w:pPr>
        <w:pStyle w:val="a7"/>
        <w:numPr>
          <w:ilvl w:val="0"/>
          <w:numId w:val="8"/>
        </w:numPr>
        <w:spacing w:after="0"/>
        <w:ind w:left="709" w:hanging="283"/>
        <w:jc w:val="both"/>
        <w:rPr>
          <w:lang w:val="kk-KZ"/>
        </w:rPr>
      </w:pPr>
      <w:r w:rsidRPr="008C5ABA">
        <w:rPr>
          <w:lang w:val="kk-KZ"/>
        </w:rPr>
        <w:t>incentify the customer’s mitigation and adoption of sustainable development practices through special terms and conditions and by providing sustainable loan and non-bank ESG products</w:t>
      </w:r>
      <w:r w:rsidR="00F2456E" w:rsidRPr="008C5ABA">
        <w:rPr>
          <w:lang w:val="kk-KZ"/>
        </w:rPr>
        <w:t>.</w:t>
      </w:r>
      <w:bookmarkStart w:id="26" w:name="_Toc136446383"/>
      <w:bookmarkStart w:id="27" w:name="_Toc139019044"/>
      <w:bookmarkStart w:id="28" w:name="_Toc139290505"/>
      <w:bookmarkStart w:id="29" w:name="_Toc139473421"/>
    </w:p>
    <w:p w14:paraId="5FB8590F" w14:textId="77777777" w:rsidR="00F2456E" w:rsidRPr="00497CA5" w:rsidRDefault="008C5ABA" w:rsidP="00F2456E">
      <w:pPr>
        <w:pStyle w:val="1"/>
        <w:rPr>
          <w:color w:val="auto"/>
          <w:lang w:val="kk-KZ"/>
        </w:rPr>
      </w:pPr>
      <w:bookmarkStart w:id="30" w:name="_Toc199501410"/>
      <w:r>
        <w:rPr>
          <w:color w:val="auto"/>
          <w:lang w:val="en-US"/>
        </w:rPr>
        <w:t>Chapter</w:t>
      </w:r>
      <w:r w:rsidR="00F2456E" w:rsidRPr="00497CA5">
        <w:rPr>
          <w:color w:val="auto"/>
          <w:lang w:val="kk-KZ"/>
        </w:rPr>
        <w:t xml:space="preserve"> 4.</w:t>
      </w:r>
      <w:r w:rsidR="00F2456E">
        <w:rPr>
          <w:color w:val="auto"/>
          <w:lang w:val="kk-KZ"/>
        </w:rPr>
        <w:t xml:space="preserve"> </w:t>
      </w:r>
      <w:r>
        <w:rPr>
          <w:color w:val="auto"/>
          <w:lang w:val="en-US"/>
        </w:rPr>
        <w:t>Contingency</w:t>
      </w:r>
      <w:r w:rsidRPr="008C5ABA">
        <w:rPr>
          <w:color w:val="auto"/>
        </w:rPr>
        <w:t xml:space="preserve"> </w:t>
      </w:r>
      <w:r>
        <w:rPr>
          <w:color w:val="auto"/>
          <w:lang w:val="en-US"/>
        </w:rPr>
        <w:t>Management</w:t>
      </w:r>
      <w:bookmarkEnd w:id="30"/>
    </w:p>
    <w:p w14:paraId="3E3D8E22" w14:textId="77777777" w:rsidR="00F2456E" w:rsidRPr="00B456C9" w:rsidRDefault="008C5ABA" w:rsidP="00F2456E">
      <w:pPr>
        <w:pStyle w:val="a7"/>
        <w:numPr>
          <w:ilvl w:val="0"/>
          <w:numId w:val="7"/>
        </w:numPr>
        <w:tabs>
          <w:tab w:val="left" w:pos="0"/>
        </w:tabs>
        <w:spacing w:after="0" w:line="240" w:lineRule="auto"/>
        <w:ind w:left="0" w:firstLine="0"/>
        <w:jc w:val="both"/>
        <w:rPr>
          <w:rFonts w:cs="Times New Roman"/>
          <w:szCs w:val="24"/>
          <w:lang w:val="kk-KZ"/>
        </w:rPr>
      </w:pPr>
      <w:r>
        <w:rPr>
          <w:rFonts w:cs="Times New Roman"/>
          <w:szCs w:val="24"/>
          <w:lang w:val="en-US"/>
        </w:rPr>
        <w:t>M</w:t>
      </w:r>
      <w:r w:rsidRPr="008C5ABA">
        <w:rPr>
          <w:rFonts w:cs="Times New Roman"/>
          <w:szCs w:val="24"/>
          <w:lang w:val="kk-KZ"/>
        </w:rPr>
        <w:t>anagement of contingencies in</w:t>
      </w:r>
      <w:r>
        <w:rPr>
          <w:rFonts w:cs="Times New Roman"/>
          <w:szCs w:val="24"/>
          <w:lang w:val="kk-KZ"/>
        </w:rPr>
        <w:t xml:space="preserve"> the project financing process </w:t>
      </w:r>
      <w:r>
        <w:rPr>
          <w:rFonts w:cs="Times New Roman"/>
          <w:szCs w:val="24"/>
          <w:lang w:val="en-US"/>
        </w:rPr>
        <w:t>shall</w:t>
      </w:r>
      <w:r w:rsidRPr="008C5ABA">
        <w:rPr>
          <w:rFonts w:cs="Times New Roman"/>
          <w:szCs w:val="24"/>
          <w:lang w:val="kk-KZ"/>
        </w:rPr>
        <w:t xml:space="preserve"> </w:t>
      </w:r>
      <w:r>
        <w:rPr>
          <w:rFonts w:cs="Times New Roman"/>
          <w:szCs w:val="24"/>
          <w:lang w:val="en-US"/>
        </w:rPr>
        <w:t xml:space="preserve">be </w:t>
      </w:r>
      <w:r>
        <w:rPr>
          <w:rFonts w:cs="Times New Roman"/>
          <w:szCs w:val="24"/>
          <w:lang w:val="kk-KZ"/>
        </w:rPr>
        <w:t>a critical aspect of the Bank</w:t>
      </w:r>
      <w:r>
        <w:rPr>
          <w:rFonts w:cs="Times New Roman"/>
          <w:szCs w:val="24"/>
          <w:lang w:val="en-US"/>
        </w:rPr>
        <w:t>’</w:t>
      </w:r>
      <w:r w:rsidRPr="008C5ABA">
        <w:rPr>
          <w:rFonts w:cs="Times New Roman"/>
          <w:szCs w:val="24"/>
          <w:lang w:val="kk-KZ"/>
        </w:rPr>
        <w:t xml:space="preserve">s stability and reliability. In the course of the </w:t>
      </w:r>
      <w:r>
        <w:rPr>
          <w:rFonts w:cs="Times New Roman"/>
          <w:szCs w:val="24"/>
          <w:lang w:val="kk-KZ"/>
        </w:rPr>
        <w:t>Bank</w:t>
      </w:r>
      <w:r>
        <w:rPr>
          <w:rFonts w:cs="Times New Roman"/>
          <w:szCs w:val="24"/>
          <w:lang w:val="en-US"/>
        </w:rPr>
        <w:t>’</w:t>
      </w:r>
      <w:r w:rsidRPr="008C5ABA">
        <w:rPr>
          <w:rFonts w:cs="Times New Roman"/>
          <w:szCs w:val="24"/>
          <w:lang w:val="kk-KZ"/>
        </w:rPr>
        <w:t xml:space="preserve">s lending activities, </w:t>
      </w:r>
      <w:r>
        <w:rPr>
          <w:rFonts w:cs="Times New Roman"/>
          <w:szCs w:val="24"/>
          <w:lang w:val="en-US"/>
        </w:rPr>
        <w:t xml:space="preserve">it may encounter unexpected </w:t>
      </w:r>
      <w:r w:rsidRPr="008C5ABA">
        <w:rPr>
          <w:rFonts w:cs="Times New Roman"/>
          <w:szCs w:val="24"/>
          <w:lang w:val="kk-KZ"/>
        </w:rPr>
        <w:t xml:space="preserve">events or situations that </w:t>
      </w:r>
      <w:r>
        <w:rPr>
          <w:rFonts w:cs="Times New Roman"/>
          <w:szCs w:val="24"/>
          <w:lang w:val="en-US"/>
        </w:rPr>
        <w:t>were not foreseen</w:t>
      </w:r>
      <w:r w:rsidRPr="008C5ABA">
        <w:rPr>
          <w:rFonts w:cs="Times New Roman"/>
          <w:szCs w:val="24"/>
          <w:lang w:val="kk-KZ"/>
        </w:rPr>
        <w:t xml:space="preserve"> or accounted for in advance</w:t>
      </w:r>
      <w:r>
        <w:rPr>
          <w:rFonts w:cs="Times New Roman"/>
          <w:szCs w:val="24"/>
          <w:lang w:val="en-US"/>
        </w:rPr>
        <w:t xml:space="preserve">, </w:t>
      </w:r>
      <w:r w:rsidR="00A52D56">
        <w:rPr>
          <w:rFonts w:cs="Times New Roman"/>
          <w:szCs w:val="24"/>
          <w:lang w:val="en-US"/>
        </w:rPr>
        <w:t xml:space="preserve">and such events and circumstances </w:t>
      </w:r>
      <w:r w:rsidRPr="008C5ABA">
        <w:rPr>
          <w:rFonts w:cs="Times New Roman"/>
          <w:szCs w:val="24"/>
          <w:lang w:val="kk-KZ"/>
        </w:rPr>
        <w:t xml:space="preserve">may </w:t>
      </w:r>
      <w:r w:rsidR="00A52D56">
        <w:rPr>
          <w:rFonts w:cs="Times New Roman"/>
          <w:szCs w:val="24"/>
          <w:lang w:val="en-US"/>
        </w:rPr>
        <w:t>include, but not limited to</w:t>
      </w:r>
      <w:r w:rsidR="00F2456E" w:rsidRPr="00B456C9">
        <w:rPr>
          <w:rFonts w:cs="Times New Roman"/>
          <w:szCs w:val="24"/>
          <w:lang w:val="kk-KZ"/>
        </w:rPr>
        <w:t>:</w:t>
      </w:r>
    </w:p>
    <w:p w14:paraId="5A828797" w14:textId="77777777" w:rsidR="00F2456E" w:rsidRPr="00B456C9" w:rsidRDefault="00A52D56" w:rsidP="00F2456E">
      <w:pPr>
        <w:pStyle w:val="a7"/>
        <w:numPr>
          <w:ilvl w:val="0"/>
          <w:numId w:val="25"/>
        </w:numPr>
        <w:tabs>
          <w:tab w:val="left" w:pos="851"/>
        </w:tabs>
        <w:spacing w:after="0" w:line="240" w:lineRule="auto"/>
        <w:ind w:left="0" w:firstLine="567"/>
        <w:rPr>
          <w:rFonts w:cs="Times New Roman"/>
          <w:szCs w:val="24"/>
          <w:lang w:val="kk-KZ"/>
        </w:rPr>
      </w:pPr>
      <w:r w:rsidRPr="00A52D56">
        <w:rPr>
          <w:rFonts w:cs="Times New Roman"/>
          <w:szCs w:val="24"/>
          <w:lang w:val="kk-KZ"/>
        </w:rPr>
        <w:t>direct complaints regarding the project financing that may pose environmental or soci</w:t>
      </w:r>
      <w:r>
        <w:rPr>
          <w:rFonts w:cs="Times New Roman"/>
          <w:szCs w:val="24"/>
          <w:lang w:val="kk-KZ"/>
        </w:rPr>
        <w:t xml:space="preserve">al </w:t>
      </w:r>
      <w:r w:rsidRPr="00A52D56">
        <w:rPr>
          <w:rFonts w:cs="Times New Roman"/>
          <w:szCs w:val="24"/>
          <w:lang w:val="kk-KZ"/>
        </w:rPr>
        <w:t>threat</w:t>
      </w:r>
      <w:r w:rsidR="00F2456E" w:rsidRPr="00B456C9">
        <w:rPr>
          <w:rFonts w:cs="Times New Roman"/>
          <w:szCs w:val="24"/>
          <w:lang w:val="kk-KZ"/>
        </w:rPr>
        <w:t>;</w:t>
      </w:r>
    </w:p>
    <w:p w14:paraId="5C989281"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negative media coverage and NGO campaigns related to specific transactions financed by the Bank</w:t>
      </w:r>
      <w:r w:rsidR="00F2456E" w:rsidRPr="00B456C9">
        <w:rPr>
          <w:rFonts w:cs="Times New Roman"/>
          <w:szCs w:val="24"/>
          <w:lang w:val="kk-KZ"/>
        </w:rPr>
        <w:t xml:space="preserve">; </w:t>
      </w:r>
    </w:p>
    <w:p w14:paraId="64395938"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serious incidents, including accidents with potentially fatal outcomes</w:t>
      </w:r>
      <w:r w:rsidR="00F2456E" w:rsidRPr="00A52D56">
        <w:rPr>
          <w:rFonts w:cs="Times New Roman"/>
          <w:szCs w:val="24"/>
          <w:lang w:val="kk-KZ"/>
        </w:rPr>
        <w:t>;</w:t>
      </w:r>
    </w:p>
    <w:p w14:paraId="0720AAF0"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labor unrest, riots, and street demonstrations</w:t>
      </w:r>
      <w:r w:rsidR="00F2456E" w:rsidRPr="00B456C9">
        <w:rPr>
          <w:rFonts w:cs="Times New Roman"/>
          <w:szCs w:val="24"/>
          <w:lang w:val="kk-KZ"/>
        </w:rPr>
        <w:t>;</w:t>
      </w:r>
    </w:p>
    <w:p w14:paraId="0B4A7AC1"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 xml:space="preserve">natural disasters caused by </w:t>
      </w:r>
      <w:r>
        <w:rPr>
          <w:rFonts w:cs="Times New Roman"/>
          <w:szCs w:val="24"/>
          <w:lang w:val="en-US"/>
        </w:rPr>
        <w:t>natural calamities</w:t>
      </w:r>
      <w:r w:rsidR="00F2456E" w:rsidRPr="00B456C9">
        <w:rPr>
          <w:rFonts w:cs="Times New Roman"/>
          <w:szCs w:val="24"/>
          <w:lang w:val="kk-KZ"/>
        </w:rPr>
        <w:t>;</w:t>
      </w:r>
    </w:p>
    <w:p w14:paraId="4353EF1E"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global pandemics</w:t>
      </w:r>
      <w:r w:rsidR="00F2456E" w:rsidRPr="00B456C9">
        <w:rPr>
          <w:rFonts w:cs="Times New Roman"/>
          <w:szCs w:val="24"/>
          <w:lang w:val="kk-KZ"/>
        </w:rPr>
        <w:t>;</w:t>
      </w:r>
    </w:p>
    <w:p w14:paraId="060923CD" w14:textId="77777777" w:rsidR="00F2456E" w:rsidRPr="00B456C9" w:rsidRDefault="00A52D56" w:rsidP="00F2456E">
      <w:pPr>
        <w:pStyle w:val="a7"/>
        <w:numPr>
          <w:ilvl w:val="0"/>
          <w:numId w:val="25"/>
        </w:numPr>
        <w:tabs>
          <w:tab w:val="left" w:pos="851"/>
        </w:tabs>
        <w:spacing w:after="0" w:line="240" w:lineRule="auto"/>
        <w:ind w:left="0" w:firstLine="567"/>
        <w:jc w:val="both"/>
        <w:rPr>
          <w:rFonts w:cs="Times New Roman"/>
          <w:szCs w:val="24"/>
          <w:lang w:val="kk-KZ"/>
        </w:rPr>
      </w:pPr>
      <w:r w:rsidRPr="00A52D56">
        <w:rPr>
          <w:rFonts w:cs="Times New Roman"/>
          <w:szCs w:val="24"/>
          <w:lang w:val="kk-KZ"/>
        </w:rPr>
        <w:t>environmental emergencies</w:t>
      </w:r>
      <w:r w:rsidR="00F2456E" w:rsidRPr="00B456C9">
        <w:rPr>
          <w:rFonts w:cs="Times New Roman"/>
          <w:szCs w:val="24"/>
          <w:lang w:val="kk-KZ"/>
        </w:rPr>
        <w:t>.</w:t>
      </w:r>
    </w:p>
    <w:p w14:paraId="27AF110B" w14:textId="77777777" w:rsidR="00F2456E" w:rsidRPr="00B456C9" w:rsidRDefault="00A52D56" w:rsidP="00F2456E">
      <w:pPr>
        <w:pStyle w:val="a7"/>
        <w:numPr>
          <w:ilvl w:val="0"/>
          <w:numId w:val="7"/>
        </w:numPr>
        <w:spacing w:after="0" w:line="240" w:lineRule="auto"/>
        <w:ind w:left="0" w:firstLine="0"/>
        <w:jc w:val="both"/>
        <w:rPr>
          <w:rFonts w:cs="Times New Roman"/>
          <w:szCs w:val="24"/>
          <w:lang w:val="kk-KZ"/>
        </w:rPr>
      </w:pPr>
      <w:r>
        <w:rPr>
          <w:rFonts w:cs="Times New Roman"/>
          <w:szCs w:val="24"/>
          <w:lang w:val="en-US"/>
        </w:rPr>
        <w:t>Contingencies</w:t>
      </w:r>
      <w:r w:rsidRPr="00A52D56">
        <w:rPr>
          <w:rFonts w:cs="Times New Roman"/>
          <w:szCs w:val="24"/>
          <w:lang w:val="kk-KZ"/>
        </w:rPr>
        <w:t xml:space="preserve"> </w:t>
      </w:r>
      <w:r>
        <w:rPr>
          <w:rFonts w:cs="Times New Roman"/>
          <w:szCs w:val="24"/>
          <w:lang w:val="en-US"/>
        </w:rPr>
        <w:t>shall be</w:t>
      </w:r>
      <w:r w:rsidRPr="00A52D56">
        <w:rPr>
          <w:rFonts w:cs="Times New Roman"/>
          <w:szCs w:val="24"/>
          <w:lang w:val="kk-KZ"/>
        </w:rPr>
        <w:t xml:space="preserve"> classified according to the nature of their origin</w:t>
      </w:r>
      <w:r>
        <w:rPr>
          <w:rFonts w:cs="Times New Roman"/>
          <w:szCs w:val="24"/>
          <w:lang w:val="kk-KZ"/>
        </w:rPr>
        <w:t xml:space="preserve"> as either external or internal</w:t>
      </w:r>
      <w:r w:rsidR="00F2456E" w:rsidRPr="00B456C9">
        <w:rPr>
          <w:rFonts w:cs="Times New Roman"/>
          <w:szCs w:val="24"/>
          <w:lang w:val="kk-KZ"/>
        </w:rPr>
        <w:t xml:space="preserve">. </w:t>
      </w:r>
    </w:p>
    <w:p w14:paraId="022D94DD" w14:textId="77777777" w:rsidR="00F2456E" w:rsidRPr="00B456C9" w:rsidRDefault="00A52D56" w:rsidP="00F2456E">
      <w:pPr>
        <w:pStyle w:val="a7"/>
        <w:numPr>
          <w:ilvl w:val="0"/>
          <w:numId w:val="7"/>
        </w:numPr>
        <w:tabs>
          <w:tab w:val="left" w:pos="567"/>
        </w:tabs>
        <w:spacing w:after="0" w:line="240" w:lineRule="auto"/>
        <w:jc w:val="both"/>
        <w:rPr>
          <w:rFonts w:cs="Times New Roman"/>
          <w:szCs w:val="24"/>
          <w:lang w:val="kk-KZ"/>
        </w:rPr>
      </w:pPr>
      <w:r>
        <w:rPr>
          <w:rFonts w:cs="Times New Roman"/>
          <w:szCs w:val="24"/>
          <w:lang w:val="en-US"/>
        </w:rPr>
        <w:t>Internal</w:t>
      </w:r>
      <w:r w:rsidRPr="00A52D56">
        <w:rPr>
          <w:rFonts w:cs="Times New Roman"/>
          <w:szCs w:val="24"/>
          <w:lang w:val="en-US"/>
        </w:rPr>
        <w:t xml:space="preserve"> </w:t>
      </w:r>
      <w:r>
        <w:rPr>
          <w:rFonts w:cs="Times New Roman"/>
          <w:szCs w:val="24"/>
          <w:lang w:val="en-US"/>
        </w:rPr>
        <w:t>contingencies</w:t>
      </w:r>
      <w:r w:rsidRPr="00A52D56">
        <w:rPr>
          <w:rFonts w:cs="Times New Roman"/>
          <w:szCs w:val="24"/>
          <w:lang w:val="en-US"/>
        </w:rPr>
        <w:t xml:space="preserve"> </w:t>
      </w:r>
      <w:r>
        <w:rPr>
          <w:rFonts w:cs="Times New Roman"/>
          <w:szCs w:val="24"/>
          <w:lang w:val="en-US"/>
        </w:rPr>
        <w:t>shall</w:t>
      </w:r>
      <w:r w:rsidRPr="00A52D56">
        <w:rPr>
          <w:rFonts w:cs="Times New Roman"/>
          <w:szCs w:val="24"/>
          <w:lang w:val="en-US"/>
        </w:rPr>
        <w:t xml:space="preserve"> </w:t>
      </w:r>
      <w:r>
        <w:rPr>
          <w:rFonts w:cs="Times New Roman"/>
          <w:szCs w:val="24"/>
          <w:lang w:val="en-US"/>
        </w:rPr>
        <w:t>be</w:t>
      </w:r>
      <w:r w:rsidRPr="00A52D56">
        <w:rPr>
          <w:rFonts w:cs="Times New Roman"/>
          <w:szCs w:val="24"/>
          <w:lang w:val="en-US"/>
        </w:rPr>
        <w:t xml:space="preserve"> </w:t>
      </w:r>
      <w:r>
        <w:rPr>
          <w:rFonts w:cs="Times New Roman"/>
          <w:szCs w:val="24"/>
          <w:lang w:val="en-US"/>
        </w:rPr>
        <w:t>managed</w:t>
      </w:r>
      <w:r w:rsidRPr="00A52D56">
        <w:rPr>
          <w:rFonts w:cs="Times New Roman"/>
          <w:szCs w:val="24"/>
          <w:lang w:val="en-US"/>
        </w:rPr>
        <w:t xml:space="preserve"> </w:t>
      </w:r>
      <w:r>
        <w:rPr>
          <w:rFonts w:cs="Times New Roman"/>
          <w:szCs w:val="24"/>
          <w:lang w:val="en-US"/>
        </w:rPr>
        <w:t>through the following</w:t>
      </w:r>
      <w:r w:rsidR="00F2456E" w:rsidRPr="00B456C9">
        <w:rPr>
          <w:rFonts w:cs="Times New Roman"/>
          <w:szCs w:val="24"/>
          <w:lang w:val="kk-KZ"/>
        </w:rPr>
        <w:t>:</w:t>
      </w:r>
    </w:p>
    <w:p w14:paraId="29B488CD" w14:textId="77777777" w:rsidR="00F2456E" w:rsidRPr="00A52D56" w:rsidRDefault="00A52D56" w:rsidP="00F2456E">
      <w:pPr>
        <w:pStyle w:val="a7"/>
        <w:numPr>
          <w:ilvl w:val="0"/>
          <w:numId w:val="27"/>
        </w:numPr>
        <w:tabs>
          <w:tab w:val="left" w:pos="851"/>
        </w:tabs>
        <w:spacing w:after="0" w:line="240" w:lineRule="auto"/>
        <w:ind w:left="0" w:firstLine="567"/>
        <w:jc w:val="both"/>
        <w:rPr>
          <w:rFonts w:cs="Times New Roman"/>
          <w:szCs w:val="24"/>
          <w:lang w:val="kk-KZ"/>
        </w:rPr>
      </w:pPr>
      <w:r w:rsidRPr="00A52D56">
        <w:rPr>
          <w:rFonts w:cs="Times New Roman"/>
          <w:szCs w:val="24"/>
          <w:lang w:val="kk-KZ"/>
        </w:rPr>
        <w:t>internal control covering all the Bank’s business areas and processes</w:t>
      </w:r>
      <w:r w:rsidR="00F2456E" w:rsidRPr="00A52D56">
        <w:rPr>
          <w:rFonts w:cs="Times New Roman"/>
          <w:szCs w:val="24"/>
          <w:lang w:val="kk-KZ"/>
        </w:rPr>
        <w:t>;</w:t>
      </w:r>
    </w:p>
    <w:p w14:paraId="0DF0E1E4" w14:textId="77777777" w:rsidR="00F2456E" w:rsidRPr="00A52D56" w:rsidRDefault="00A52D56" w:rsidP="00F2456E">
      <w:pPr>
        <w:pStyle w:val="a7"/>
        <w:numPr>
          <w:ilvl w:val="0"/>
          <w:numId w:val="27"/>
        </w:numPr>
        <w:tabs>
          <w:tab w:val="left" w:pos="851"/>
        </w:tabs>
        <w:spacing w:after="0" w:line="240" w:lineRule="auto"/>
        <w:ind w:left="0" w:firstLine="567"/>
        <w:jc w:val="both"/>
        <w:rPr>
          <w:rFonts w:cs="Times New Roman"/>
          <w:szCs w:val="24"/>
          <w:lang w:val="kk-KZ"/>
        </w:rPr>
      </w:pPr>
      <w:r w:rsidRPr="00A52D56">
        <w:rPr>
          <w:rFonts w:cs="Times New Roman"/>
          <w:szCs w:val="24"/>
          <w:lang w:val="kk-KZ"/>
        </w:rPr>
        <w:t>prevention of contingencies</w:t>
      </w:r>
      <w:r>
        <w:rPr>
          <w:rFonts w:cs="Times New Roman"/>
          <w:szCs w:val="24"/>
          <w:lang w:val="kk-KZ"/>
        </w:rPr>
        <w:t xml:space="preserve"> through </w:t>
      </w:r>
      <w:r w:rsidRPr="00A52D56">
        <w:rPr>
          <w:rFonts w:cs="Times New Roman"/>
          <w:szCs w:val="24"/>
          <w:lang w:val="kk-KZ"/>
        </w:rPr>
        <w:t>building of an effective busine</w:t>
      </w:r>
      <w:r>
        <w:rPr>
          <w:rFonts w:cs="Times New Roman"/>
          <w:szCs w:val="24"/>
          <w:lang w:val="kk-KZ"/>
        </w:rPr>
        <w:t>ss continuity management system</w:t>
      </w:r>
      <w:r w:rsidRPr="00A52D56">
        <w:rPr>
          <w:rFonts w:cs="Times New Roman"/>
          <w:szCs w:val="24"/>
          <w:lang w:val="kk-KZ"/>
        </w:rPr>
        <w:t xml:space="preserve"> that ensures uninterrupted operation of the Bank processes at an adequate level, and delivery of services and products to customers, partners, and subsidiaries regardless of the current state of affairs</w:t>
      </w:r>
      <w:r w:rsidR="00F2456E" w:rsidRPr="00A52D56">
        <w:rPr>
          <w:rFonts w:cs="Times New Roman"/>
          <w:szCs w:val="24"/>
          <w:lang w:val="kk-KZ"/>
        </w:rPr>
        <w:t>;</w:t>
      </w:r>
    </w:p>
    <w:p w14:paraId="6D16A1E5" w14:textId="77777777" w:rsidR="00F2456E" w:rsidRPr="00A52D56" w:rsidRDefault="00A52D56" w:rsidP="00F2456E">
      <w:pPr>
        <w:pStyle w:val="a7"/>
        <w:numPr>
          <w:ilvl w:val="0"/>
          <w:numId w:val="27"/>
        </w:numPr>
        <w:tabs>
          <w:tab w:val="left" w:pos="851"/>
        </w:tabs>
        <w:spacing w:after="0" w:line="240" w:lineRule="auto"/>
        <w:ind w:left="0" w:firstLine="567"/>
        <w:jc w:val="both"/>
        <w:rPr>
          <w:rFonts w:cs="Times New Roman"/>
          <w:szCs w:val="24"/>
          <w:lang w:val="kk-KZ"/>
        </w:rPr>
      </w:pPr>
      <w:r w:rsidRPr="00A52D56">
        <w:rPr>
          <w:rFonts w:cs="Times New Roman"/>
          <w:szCs w:val="24"/>
          <w:lang w:val="kk-KZ"/>
        </w:rPr>
        <w:t>effective human resource management, implementation of HR policies, and adherence to the H</w:t>
      </w:r>
      <w:r>
        <w:rPr>
          <w:rFonts w:cs="Times New Roman"/>
          <w:szCs w:val="24"/>
          <w:lang w:val="kk-KZ"/>
        </w:rPr>
        <w:t xml:space="preserve">uman </w:t>
      </w:r>
      <w:r w:rsidRPr="00A52D56">
        <w:rPr>
          <w:rFonts w:cs="Times New Roman"/>
          <w:szCs w:val="24"/>
          <w:lang w:val="kk-KZ"/>
        </w:rPr>
        <w:t>R</w:t>
      </w:r>
      <w:r>
        <w:rPr>
          <w:rFonts w:cs="Times New Roman"/>
          <w:szCs w:val="24"/>
          <w:lang w:val="kk-KZ"/>
        </w:rPr>
        <w:t xml:space="preserve">ights </w:t>
      </w:r>
      <w:r w:rsidRPr="00A52D56">
        <w:rPr>
          <w:rFonts w:cs="Times New Roman"/>
          <w:szCs w:val="24"/>
          <w:lang w:val="kk-KZ"/>
        </w:rPr>
        <w:t>Policy</w:t>
      </w:r>
      <w:r w:rsidR="00F2456E" w:rsidRPr="00A52D56">
        <w:rPr>
          <w:rFonts w:cs="Times New Roman"/>
          <w:szCs w:val="24"/>
          <w:lang w:val="kk-KZ"/>
        </w:rPr>
        <w:t>;</w:t>
      </w:r>
    </w:p>
    <w:p w14:paraId="184DC5A1" w14:textId="77777777" w:rsidR="00F2456E" w:rsidRPr="00A52D56" w:rsidRDefault="00A52D56" w:rsidP="00F2456E">
      <w:pPr>
        <w:pStyle w:val="a7"/>
        <w:numPr>
          <w:ilvl w:val="0"/>
          <w:numId w:val="27"/>
        </w:numPr>
        <w:tabs>
          <w:tab w:val="left" w:pos="851"/>
        </w:tabs>
        <w:spacing w:after="0" w:line="240" w:lineRule="auto"/>
        <w:ind w:left="0" w:firstLine="567"/>
        <w:jc w:val="both"/>
        <w:rPr>
          <w:rFonts w:cs="Times New Roman"/>
          <w:szCs w:val="24"/>
          <w:lang w:val="kk-KZ"/>
        </w:rPr>
      </w:pPr>
      <w:r w:rsidRPr="00A52D56">
        <w:rPr>
          <w:rFonts w:cs="Times New Roman"/>
          <w:szCs w:val="24"/>
          <w:lang w:val="kk-KZ"/>
        </w:rPr>
        <w:lastRenderedPageBreak/>
        <w:t>development and implementation of recovery and continuity plans for critical subdivisions ensuring continuity of the Bank’s key processes</w:t>
      </w:r>
      <w:r w:rsidR="00F2456E" w:rsidRPr="00A52D56">
        <w:rPr>
          <w:rFonts w:cs="Times New Roman"/>
          <w:szCs w:val="24"/>
          <w:lang w:val="kk-KZ"/>
        </w:rPr>
        <w:t>.</w:t>
      </w:r>
    </w:p>
    <w:p w14:paraId="7AA379A4" w14:textId="77777777" w:rsidR="00F2456E" w:rsidRPr="00A52D56" w:rsidRDefault="00A52D56" w:rsidP="00F2456E">
      <w:pPr>
        <w:tabs>
          <w:tab w:val="left" w:pos="851"/>
        </w:tabs>
        <w:spacing w:after="0" w:line="240" w:lineRule="auto"/>
        <w:ind w:firstLine="284"/>
        <w:jc w:val="both"/>
        <w:rPr>
          <w:rFonts w:cs="Times New Roman"/>
          <w:szCs w:val="24"/>
          <w:lang w:val="kk-KZ"/>
        </w:rPr>
      </w:pPr>
      <w:r w:rsidRPr="00A52D56">
        <w:rPr>
          <w:rFonts w:cs="Times New Roman"/>
          <w:szCs w:val="24"/>
          <w:lang w:val="kk-KZ"/>
        </w:rPr>
        <w:t>Management of internal contingencies shall be aimed both to minimize risks and to enhance the Bank’s adaptability to changing conditions, ensuring its competitiveness and maintaining the trust of stakeholders</w:t>
      </w:r>
      <w:r w:rsidR="00F2456E" w:rsidRPr="00B456C9">
        <w:rPr>
          <w:rFonts w:cs="Times New Roman"/>
          <w:szCs w:val="24"/>
          <w:lang w:val="kk-KZ"/>
        </w:rPr>
        <w:t>.</w:t>
      </w:r>
    </w:p>
    <w:p w14:paraId="6C7E85B5" w14:textId="77777777" w:rsidR="00F2456E" w:rsidRPr="00B456C9" w:rsidRDefault="000A5339" w:rsidP="00F2456E">
      <w:pPr>
        <w:pStyle w:val="a7"/>
        <w:numPr>
          <w:ilvl w:val="0"/>
          <w:numId w:val="7"/>
        </w:numPr>
        <w:tabs>
          <w:tab w:val="left" w:pos="426"/>
        </w:tabs>
        <w:spacing w:after="0" w:line="240" w:lineRule="auto"/>
        <w:ind w:left="0" w:firstLine="0"/>
        <w:jc w:val="both"/>
        <w:rPr>
          <w:rFonts w:cs="Times New Roman"/>
          <w:szCs w:val="24"/>
          <w:lang w:val="kk-KZ"/>
        </w:rPr>
      </w:pPr>
      <w:r w:rsidRPr="000A5339">
        <w:rPr>
          <w:rFonts w:cs="Times New Roman"/>
          <w:szCs w:val="24"/>
          <w:lang w:val="kk-KZ"/>
        </w:rPr>
        <w:t xml:space="preserve">Each type of external </w:t>
      </w:r>
      <w:r w:rsidR="00E22805">
        <w:rPr>
          <w:rFonts w:cs="Times New Roman"/>
          <w:szCs w:val="24"/>
          <w:lang w:val="en-US"/>
        </w:rPr>
        <w:t xml:space="preserve">contingencies shall </w:t>
      </w:r>
      <w:r w:rsidRPr="000A5339">
        <w:rPr>
          <w:rFonts w:cs="Times New Roman"/>
          <w:szCs w:val="24"/>
          <w:lang w:val="kk-KZ"/>
        </w:rPr>
        <w:t>require a tailored management approach. Once such an event becomes known, the Bank</w:t>
      </w:r>
      <w:r w:rsidR="00E22805">
        <w:rPr>
          <w:rFonts w:cs="Times New Roman"/>
          <w:szCs w:val="24"/>
          <w:lang w:val="en-US"/>
        </w:rPr>
        <w:t xml:space="preserve"> shall</w:t>
      </w:r>
      <w:r w:rsidRPr="000A5339">
        <w:rPr>
          <w:rFonts w:cs="Times New Roman"/>
          <w:szCs w:val="24"/>
          <w:lang w:val="kk-KZ"/>
        </w:rPr>
        <w:t xml:space="preserve"> collect </w:t>
      </w:r>
      <w:r w:rsidR="00E22805">
        <w:rPr>
          <w:rFonts w:cs="Times New Roman"/>
          <w:szCs w:val="24"/>
          <w:lang w:val="kk-KZ"/>
        </w:rPr>
        <w:t>actual information and develop</w:t>
      </w:r>
      <w:r w:rsidRPr="000A5339">
        <w:rPr>
          <w:rFonts w:cs="Times New Roman"/>
          <w:szCs w:val="24"/>
          <w:lang w:val="kk-KZ"/>
        </w:rPr>
        <w:t xml:space="preserve"> an action plan to mitigate negative consequences and </w:t>
      </w:r>
      <w:r w:rsidR="00E22805">
        <w:rPr>
          <w:rFonts w:cs="Times New Roman"/>
          <w:szCs w:val="24"/>
          <w:lang w:val="en-US"/>
        </w:rPr>
        <w:t xml:space="preserve">avoid </w:t>
      </w:r>
      <w:r w:rsidRPr="000A5339">
        <w:rPr>
          <w:rFonts w:cs="Times New Roman"/>
          <w:szCs w:val="24"/>
          <w:lang w:val="kk-KZ"/>
        </w:rPr>
        <w:t>similar situations in the future</w:t>
      </w:r>
      <w:r w:rsidR="00F2456E" w:rsidRPr="00B456C9">
        <w:rPr>
          <w:rFonts w:cs="Times New Roman"/>
          <w:szCs w:val="24"/>
          <w:lang w:val="kk-KZ"/>
        </w:rPr>
        <w:t xml:space="preserve">. </w:t>
      </w:r>
    </w:p>
    <w:p w14:paraId="4CDC57C8" w14:textId="32C59ABA" w:rsidR="00F2456E" w:rsidRPr="00B456C9" w:rsidRDefault="00E22805" w:rsidP="00F2456E">
      <w:pPr>
        <w:pStyle w:val="a7"/>
        <w:numPr>
          <w:ilvl w:val="0"/>
          <w:numId w:val="7"/>
        </w:numPr>
        <w:tabs>
          <w:tab w:val="left" w:pos="426"/>
        </w:tabs>
        <w:spacing w:after="0" w:line="240" w:lineRule="auto"/>
        <w:ind w:left="0" w:firstLine="0"/>
        <w:jc w:val="both"/>
        <w:rPr>
          <w:rFonts w:cs="Times New Roman"/>
          <w:color w:val="000000" w:themeColor="text1"/>
          <w:szCs w:val="24"/>
          <w:lang w:val="kk-KZ"/>
        </w:rPr>
      </w:pPr>
      <w:r w:rsidRPr="00E22805">
        <w:rPr>
          <w:rFonts w:cs="Times New Roman"/>
          <w:szCs w:val="24"/>
          <w:lang w:val="kk-KZ"/>
        </w:rPr>
        <w:t xml:space="preserve">The action plan </w:t>
      </w:r>
      <w:r>
        <w:rPr>
          <w:rFonts w:cs="Times New Roman"/>
          <w:szCs w:val="24"/>
          <w:lang w:val="en-US"/>
        </w:rPr>
        <w:t xml:space="preserve">shall be </w:t>
      </w:r>
      <w:r w:rsidRPr="00E22805">
        <w:rPr>
          <w:rFonts w:cs="Times New Roman"/>
          <w:szCs w:val="24"/>
          <w:lang w:val="kk-KZ"/>
        </w:rPr>
        <w:t xml:space="preserve">aimed </w:t>
      </w:r>
      <w:r>
        <w:rPr>
          <w:rFonts w:cs="Times New Roman"/>
          <w:szCs w:val="24"/>
          <w:lang w:val="en-US"/>
        </w:rPr>
        <w:t xml:space="preserve">not only </w:t>
      </w:r>
      <w:r w:rsidRPr="00E22805">
        <w:rPr>
          <w:rFonts w:cs="Times New Roman"/>
          <w:szCs w:val="24"/>
          <w:lang w:val="kk-KZ"/>
        </w:rPr>
        <w:t xml:space="preserve">at </w:t>
      </w:r>
      <w:r w:rsidR="000234B8">
        <w:rPr>
          <w:rFonts w:cs="Times New Roman"/>
          <w:szCs w:val="24"/>
          <w:lang w:val="en-US"/>
        </w:rPr>
        <w:t>mi</w:t>
      </w:r>
      <w:r>
        <w:rPr>
          <w:rFonts w:cs="Times New Roman"/>
          <w:szCs w:val="24"/>
          <w:lang w:val="en-US"/>
        </w:rPr>
        <w:t>nimizing the consequences for t</w:t>
      </w:r>
      <w:r w:rsidRPr="00E22805">
        <w:rPr>
          <w:rFonts w:cs="Times New Roman"/>
          <w:szCs w:val="24"/>
          <w:lang w:val="kk-KZ"/>
        </w:rPr>
        <w:t>he Bank</w:t>
      </w:r>
      <w:r>
        <w:rPr>
          <w:rFonts w:cs="Times New Roman"/>
          <w:szCs w:val="24"/>
          <w:lang w:val="en-US"/>
        </w:rPr>
        <w:t>,</w:t>
      </w:r>
      <w:r w:rsidRPr="00E22805">
        <w:rPr>
          <w:rFonts w:cs="Times New Roman"/>
          <w:szCs w:val="24"/>
          <w:lang w:val="kk-KZ"/>
        </w:rPr>
        <w:t xml:space="preserve"> but also</w:t>
      </w:r>
      <w:r>
        <w:rPr>
          <w:rFonts w:cs="Times New Roman"/>
          <w:szCs w:val="24"/>
          <w:lang w:val="en-US"/>
        </w:rPr>
        <w:t xml:space="preserve"> </w:t>
      </w:r>
      <w:r w:rsidRPr="00E22805">
        <w:rPr>
          <w:rFonts w:cs="Times New Roman"/>
          <w:szCs w:val="24"/>
          <w:lang w:val="kk-KZ"/>
        </w:rPr>
        <w:t>at mitigating the effects on borrowers and other stakeholders. Possible measures to be taken during the contingencies may include, but are not limited to, the following</w:t>
      </w:r>
      <w:r w:rsidR="00F2456E">
        <w:rPr>
          <w:rFonts w:cs="Times New Roman"/>
          <w:szCs w:val="24"/>
          <w:lang w:val="kk-KZ"/>
        </w:rPr>
        <w:t>:</w:t>
      </w:r>
    </w:p>
    <w:p w14:paraId="3C206434" w14:textId="385AD2E3" w:rsidR="00F2456E" w:rsidRPr="00BC6822" w:rsidRDefault="000234B8" w:rsidP="00F2456E">
      <w:pPr>
        <w:numPr>
          <w:ilvl w:val="0"/>
          <w:numId w:val="24"/>
        </w:numPr>
        <w:tabs>
          <w:tab w:val="left" w:pos="0"/>
          <w:tab w:val="left" w:pos="851"/>
        </w:tabs>
        <w:spacing w:after="0" w:line="240" w:lineRule="auto"/>
        <w:ind w:left="0" w:firstLine="567"/>
        <w:jc w:val="both"/>
        <w:rPr>
          <w:rFonts w:cs="Times New Roman"/>
          <w:szCs w:val="24"/>
          <w:lang w:val="kk-KZ"/>
        </w:rPr>
      </w:pPr>
      <w:r>
        <w:rPr>
          <w:rFonts w:cs="Times New Roman"/>
          <w:szCs w:val="24"/>
          <w:lang w:val="en-US"/>
        </w:rPr>
        <w:t xml:space="preserve">Identification </w:t>
      </w:r>
      <w:r w:rsidR="00BC6822">
        <w:rPr>
          <w:rFonts w:cs="Times New Roman"/>
          <w:szCs w:val="24"/>
          <w:lang w:val="en-US"/>
        </w:rPr>
        <w:t xml:space="preserve">of </w:t>
      </w:r>
      <w:r w:rsidR="00BC6822" w:rsidRPr="00BC6822">
        <w:rPr>
          <w:rFonts w:cs="Times New Roman"/>
          <w:szCs w:val="24"/>
          <w:lang w:val="kk-KZ"/>
        </w:rPr>
        <w:t>critical processes that must be protected as a priority</w:t>
      </w:r>
      <w:r w:rsidR="00F2456E" w:rsidRPr="00BC6822">
        <w:rPr>
          <w:rFonts w:cs="Times New Roman"/>
          <w:szCs w:val="24"/>
          <w:lang w:val="kk-KZ"/>
        </w:rPr>
        <w:t>;</w:t>
      </w:r>
    </w:p>
    <w:p w14:paraId="41B102D8" w14:textId="77777777" w:rsidR="00F2456E" w:rsidRPr="00BC6822" w:rsidRDefault="00BC6822" w:rsidP="00F2456E">
      <w:pPr>
        <w:numPr>
          <w:ilvl w:val="0"/>
          <w:numId w:val="24"/>
        </w:numPr>
        <w:tabs>
          <w:tab w:val="left" w:pos="0"/>
          <w:tab w:val="left" w:pos="851"/>
        </w:tabs>
        <w:spacing w:after="0" w:line="240" w:lineRule="auto"/>
        <w:ind w:left="0" w:firstLine="567"/>
        <w:jc w:val="both"/>
        <w:rPr>
          <w:rFonts w:cs="Times New Roman"/>
          <w:szCs w:val="24"/>
          <w:lang w:val="kk-KZ"/>
        </w:rPr>
      </w:pPr>
      <w:r w:rsidRPr="00BC6822">
        <w:rPr>
          <w:rFonts w:cs="Times New Roman"/>
          <w:szCs w:val="24"/>
          <w:lang w:val="kk-KZ"/>
        </w:rPr>
        <w:t>defining “red zones” (high-risk areas), which may be subject to restrictions</w:t>
      </w:r>
      <w:r w:rsidR="00F2456E" w:rsidRPr="00BC6822">
        <w:rPr>
          <w:rFonts w:cs="Times New Roman"/>
          <w:szCs w:val="24"/>
          <w:lang w:val="kk-KZ"/>
        </w:rPr>
        <w:t>;</w:t>
      </w:r>
    </w:p>
    <w:p w14:paraId="3EC6FE26" w14:textId="1B5FCC27" w:rsidR="00F2456E" w:rsidRPr="00BC6822" w:rsidRDefault="00BC6822" w:rsidP="00F2456E">
      <w:pPr>
        <w:pStyle w:val="a7"/>
        <w:numPr>
          <w:ilvl w:val="0"/>
          <w:numId w:val="24"/>
        </w:numPr>
        <w:tabs>
          <w:tab w:val="left" w:pos="0"/>
          <w:tab w:val="left" w:pos="851"/>
        </w:tabs>
        <w:spacing w:after="0" w:line="240" w:lineRule="auto"/>
        <w:ind w:left="0" w:firstLine="567"/>
        <w:jc w:val="both"/>
        <w:rPr>
          <w:rFonts w:cs="Times New Roman"/>
          <w:szCs w:val="24"/>
          <w:lang w:val="kk-KZ"/>
        </w:rPr>
      </w:pPr>
      <w:r w:rsidRPr="00BC6822">
        <w:rPr>
          <w:rFonts w:cs="Times New Roman"/>
          <w:szCs w:val="24"/>
          <w:lang w:val="kk-KZ"/>
        </w:rPr>
        <w:t xml:space="preserve">segregation of risks into realized risks (those that have already impacted operations) and unrealized risks (potential threats); </w:t>
      </w:r>
    </w:p>
    <w:p w14:paraId="7310BDEF" w14:textId="5D301B6C" w:rsidR="00F2456E" w:rsidRPr="004A0244" w:rsidRDefault="00DF30BF" w:rsidP="00F2456E">
      <w:pPr>
        <w:pStyle w:val="a7"/>
        <w:numPr>
          <w:ilvl w:val="0"/>
          <w:numId w:val="24"/>
        </w:numPr>
        <w:tabs>
          <w:tab w:val="left" w:pos="0"/>
          <w:tab w:val="left" w:pos="851"/>
        </w:tabs>
        <w:spacing w:after="0" w:line="240" w:lineRule="auto"/>
        <w:ind w:left="0" w:firstLine="567"/>
        <w:jc w:val="both"/>
        <w:rPr>
          <w:rFonts w:cs="Times New Roman"/>
          <w:szCs w:val="24"/>
          <w:lang w:val="kk-KZ"/>
        </w:rPr>
      </w:pPr>
      <w:r w:rsidRPr="004A0244">
        <w:rPr>
          <w:rFonts w:cs="Times New Roman"/>
          <w:szCs w:val="24"/>
          <w:lang w:val="kk-KZ"/>
        </w:rPr>
        <w:t xml:space="preserve">temporary suspension of financing application processing and disbursement of loan proceeds </w:t>
      </w:r>
      <w:r w:rsidR="004A0244" w:rsidRPr="004A0244">
        <w:rPr>
          <w:rFonts w:cs="Times New Roman"/>
          <w:szCs w:val="24"/>
          <w:lang w:val="kk-KZ"/>
        </w:rPr>
        <w:t>under financing instruments</w:t>
      </w:r>
      <w:r w:rsidR="002310CC" w:rsidRPr="002310CC">
        <w:rPr>
          <w:rFonts w:cs="Times New Roman"/>
          <w:szCs w:val="24"/>
          <w:lang w:val="kk-KZ"/>
        </w:rPr>
        <w:t xml:space="preserve"> territorially</w:t>
      </w:r>
      <w:r w:rsidR="004A0244" w:rsidRPr="004A0244">
        <w:rPr>
          <w:rFonts w:cs="Times New Roman"/>
          <w:szCs w:val="24"/>
          <w:lang w:val="kk-KZ"/>
        </w:rPr>
        <w:t xml:space="preserve"> located in </w:t>
      </w:r>
      <w:r w:rsidR="002310CC" w:rsidRPr="002310CC">
        <w:rPr>
          <w:rFonts w:cs="Times New Roman"/>
          <w:szCs w:val="24"/>
          <w:lang w:val="kk-KZ"/>
        </w:rPr>
        <w:t xml:space="preserve">the red </w:t>
      </w:r>
      <w:r w:rsidR="00517757">
        <w:rPr>
          <w:rFonts w:cs="Times New Roman"/>
          <w:szCs w:val="24"/>
          <w:lang w:val="en-US"/>
        </w:rPr>
        <w:t xml:space="preserve">risk </w:t>
      </w:r>
      <w:r w:rsidR="002310CC" w:rsidRPr="002310CC">
        <w:rPr>
          <w:rFonts w:cs="Times New Roman"/>
          <w:szCs w:val="24"/>
          <w:lang w:val="kk-KZ"/>
        </w:rPr>
        <w:t>zone</w:t>
      </w:r>
      <w:r w:rsidR="00F2456E" w:rsidRPr="004A0244">
        <w:rPr>
          <w:rFonts w:cs="Times New Roman"/>
          <w:szCs w:val="24"/>
          <w:lang w:val="kk-KZ"/>
        </w:rPr>
        <w:t>;</w:t>
      </w:r>
    </w:p>
    <w:p w14:paraId="64537AA0" w14:textId="30FEF1B2" w:rsidR="00F2456E" w:rsidRPr="00517757" w:rsidRDefault="00517757" w:rsidP="00F2456E">
      <w:pPr>
        <w:pStyle w:val="a7"/>
        <w:numPr>
          <w:ilvl w:val="0"/>
          <w:numId w:val="24"/>
        </w:numPr>
        <w:tabs>
          <w:tab w:val="left" w:pos="0"/>
          <w:tab w:val="left" w:pos="851"/>
        </w:tabs>
        <w:spacing w:after="0" w:line="240" w:lineRule="auto"/>
        <w:ind w:left="0" w:firstLine="567"/>
        <w:jc w:val="both"/>
        <w:rPr>
          <w:rFonts w:cs="Times New Roman"/>
          <w:szCs w:val="24"/>
          <w:lang w:val="kk-KZ"/>
        </w:rPr>
      </w:pPr>
      <w:r w:rsidRPr="00517757">
        <w:rPr>
          <w:rFonts w:cs="Times New Roman"/>
          <w:szCs w:val="24"/>
          <w:lang w:val="kk-KZ"/>
        </w:rPr>
        <w:t>daily monitoring of risk zones and updating information on the Bank’s resource</w:t>
      </w:r>
      <w:r>
        <w:rPr>
          <w:rFonts w:cs="Times New Roman"/>
          <w:szCs w:val="24"/>
          <w:lang w:val="en-US"/>
        </w:rPr>
        <w:t>s</w:t>
      </w:r>
      <w:r w:rsidR="00F2456E" w:rsidRPr="00517757">
        <w:rPr>
          <w:rFonts w:cs="Times New Roman"/>
          <w:szCs w:val="24"/>
          <w:lang w:val="kk-KZ"/>
        </w:rPr>
        <w:t>;</w:t>
      </w:r>
    </w:p>
    <w:p w14:paraId="71942F41" w14:textId="1C8A61CE" w:rsidR="00F2456E" w:rsidRPr="00517757" w:rsidRDefault="00517757" w:rsidP="00F2456E">
      <w:pPr>
        <w:pStyle w:val="a7"/>
        <w:numPr>
          <w:ilvl w:val="0"/>
          <w:numId w:val="24"/>
        </w:numPr>
        <w:tabs>
          <w:tab w:val="left" w:pos="0"/>
          <w:tab w:val="left" w:pos="851"/>
        </w:tabs>
        <w:spacing w:after="0" w:line="240" w:lineRule="auto"/>
        <w:ind w:left="0" w:firstLine="567"/>
        <w:jc w:val="both"/>
        <w:rPr>
          <w:rFonts w:cs="Times New Roman"/>
          <w:szCs w:val="24"/>
          <w:lang w:val="kk-KZ"/>
        </w:rPr>
      </w:pPr>
      <w:r w:rsidRPr="00517757">
        <w:rPr>
          <w:rFonts w:cs="Times New Roman"/>
          <w:szCs w:val="24"/>
          <w:lang w:val="kk-KZ"/>
        </w:rPr>
        <w:t>modification of financing terms for borrowers located in the areas exposed to contingencie</w:t>
      </w:r>
      <w:r>
        <w:rPr>
          <w:rFonts w:cs="Times New Roman"/>
          <w:szCs w:val="24"/>
          <w:lang w:val="en-US"/>
        </w:rPr>
        <w:t>s</w:t>
      </w:r>
      <w:r w:rsidR="00F2456E" w:rsidRPr="00517757">
        <w:rPr>
          <w:rFonts w:cs="Times New Roman"/>
          <w:szCs w:val="24"/>
          <w:lang w:val="kk-KZ"/>
        </w:rPr>
        <w:t>.</w:t>
      </w:r>
    </w:p>
    <w:p w14:paraId="5CE5B65D" w14:textId="05C57CD9" w:rsidR="00F2456E" w:rsidRPr="00021CC1" w:rsidRDefault="00517757" w:rsidP="00F2456E">
      <w:pPr>
        <w:pStyle w:val="a7"/>
        <w:numPr>
          <w:ilvl w:val="0"/>
          <w:numId w:val="7"/>
        </w:numPr>
        <w:tabs>
          <w:tab w:val="left" w:pos="426"/>
        </w:tabs>
        <w:spacing w:after="0" w:line="240" w:lineRule="auto"/>
        <w:ind w:left="0" w:firstLine="0"/>
        <w:jc w:val="both"/>
        <w:rPr>
          <w:rFonts w:cs="Times New Roman"/>
          <w:color w:val="000000" w:themeColor="text1"/>
          <w:szCs w:val="24"/>
          <w:lang w:val="kk-KZ"/>
        </w:rPr>
      </w:pPr>
      <w:r w:rsidRPr="00517757">
        <w:rPr>
          <w:rFonts w:cs="Times New Roman"/>
          <w:color w:val="000000" w:themeColor="text1"/>
          <w:szCs w:val="24"/>
          <w:lang w:val="kk-KZ"/>
        </w:rPr>
        <w:t>The Action Plan shall outline the list of involved subdivisions/authorized persons in charge of damage mitigation and prevention of risks that may cause its growt</w:t>
      </w:r>
      <w:r>
        <w:rPr>
          <w:rFonts w:cs="Times New Roman"/>
          <w:color w:val="000000" w:themeColor="text1"/>
          <w:szCs w:val="24"/>
          <w:lang w:val="en-US"/>
        </w:rPr>
        <w:t xml:space="preserve">h and shall set out the powers of such persons/the Bank’s competent </w:t>
      </w:r>
      <w:r w:rsidR="007F7F0A">
        <w:rPr>
          <w:rFonts w:cs="Times New Roman"/>
          <w:color w:val="000000" w:themeColor="text1"/>
          <w:szCs w:val="24"/>
          <w:lang w:val="en-US"/>
        </w:rPr>
        <w:t>collegial body to make decisions required for the Plan implementation</w:t>
      </w:r>
      <w:r w:rsidR="00F2456E" w:rsidRPr="00B456C9">
        <w:rPr>
          <w:rFonts w:cs="Times New Roman"/>
          <w:color w:val="000000" w:themeColor="text1"/>
          <w:szCs w:val="24"/>
          <w:lang w:val="kk-KZ"/>
        </w:rPr>
        <w:t>.</w:t>
      </w:r>
    </w:p>
    <w:p w14:paraId="73920166" w14:textId="152EA144" w:rsidR="00F2456E" w:rsidRPr="007715EB" w:rsidRDefault="00FE5831" w:rsidP="00F2456E">
      <w:pPr>
        <w:pStyle w:val="1"/>
      </w:pPr>
      <w:bookmarkStart w:id="31" w:name="_Toc199501411"/>
      <w:r>
        <w:rPr>
          <w:lang w:val="en-US"/>
        </w:rPr>
        <w:t>Chapter</w:t>
      </w:r>
      <w:r w:rsidR="00F2456E">
        <w:rPr>
          <w:lang w:val="kk-KZ"/>
        </w:rPr>
        <w:t xml:space="preserve"> 5.</w:t>
      </w:r>
      <w:r w:rsidR="00F2456E">
        <w:t xml:space="preserve"> </w:t>
      </w:r>
      <w:bookmarkEnd w:id="26"/>
      <w:r>
        <w:rPr>
          <w:lang w:val="en-US"/>
        </w:rPr>
        <w:t>Sustainable Loan Products</w:t>
      </w:r>
      <w:bookmarkEnd w:id="27"/>
      <w:bookmarkEnd w:id="28"/>
      <w:bookmarkEnd w:id="29"/>
      <w:bookmarkEnd w:id="31"/>
    </w:p>
    <w:p w14:paraId="434C8A4F" w14:textId="5486A5F1" w:rsidR="00F2456E" w:rsidRPr="00FE5831" w:rsidRDefault="00FE5831" w:rsidP="00F2456E">
      <w:pPr>
        <w:pStyle w:val="a7"/>
        <w:numPr>
          <w:ilvl w:val="0"/>
          <w:numId w:val="7"/>
        </w:numPr>
        <w:spacing w:after="0" w:line="240" w:lineRule="auto"/>
        <w:ind w:left="0" w:firstLine="0"/>
        <w:jc w:val="both"/>
        <w:rPr>
          <w:lang w:val="en-US"/>
        </w:rPr>
      </w:pPr>
      <w:r w:rsidRPr="00194111">
        <w:rPr>
          <w:lang w:val="en-US"/>
        </w:rPr>
        <w:t>The Bank</w:t>
      </w:r>
      <w:r>
        <w:rPr>
          <w:lang w:val="en-US"/>
        </w:rPr>
        <w:t>’</w:t>
      </w:r>
      <w:r w:rsidRPr="00194111">
        <w:rPr>
          <w:lang w:val="en-US"/>
        </w:rPr>
        <w:t xml:space="preserve">s activities provide for the gradual introduction and development of sustainable loan products. This category of products </w:t>
      </w:r>
      <w:r>
        <w:rPr>
          <w:lang w:val="en-US"/>
        </w:rPr>
        <w:t xml:space="preserve">shall </w:t>
      </w:r>
      <w:r w:rsidRPr="00194111">
        <w:rPr>
          <w:lang w:val="en-US"/>
        </w:rPr>
        <w:t>include the following loan products</w:t>
      </w:r>
      <w:r w:rsidR="00F2456E" w:rsidRPr="00FE5831">
        <w:rPr>
          <w:lang w:val="en-US"/>
        </w:rPr>
        <w:t>:</w:t>
      </w:r>
    </w:p>
    <w:p w14:paraId="6A62D409" w14:textId="02F2EA7B" w:rsidR="00F2456E" w:rsidRPr="00FE5831" w:rsidRDefault="00F2456E" w:rsidP="00F2456E">
      <w:pPr>
        <w:tabs>
          <w:tab w:val="left" w:pos="709"/>
        </w:tabs>
        <w:spacing w:after="0" w:line="240" w:lineRule="auto"/>
        <w:ind w:left="851" w:hanging="425"/>
        <w:jc w:val="both"/>
        <w:rPr>
          <w:lang w:val="en-US"/>
        </w:rPr>
      </w:pPr>
      <w:r w:rsidRPr="00FE5831">
        <w:rPr>
          <w:lang w:val="en-US"/>
        </w:rPr>
        <w:t>1</w:t>
      </w:r>
      <w:r>
        <w:rPr>
          <w:lang w:val="kk-KZ"/>
        </w:rPr>
        <w:t xml:space="preserve">) </w:t>
      </w:r>
      <w:r w:rsidR="00FE5831" w:rsidRPr="00194111">
        <w:rPr>
          <w:lang w:val="en-US"/>
        </w:rPr>
        <w:t xml:space="preserve">Green </w:t>
      </w:r>
      <w:r w:rsidR="00FE5831">
        <w:rPr>
          <w:lang w:val="en-US"/>
        </w:rPr>
        <w:t>L</w:t>
      </w:r>
      <w:r w:rsidR="00FE5831" w:rsidRPr="00194111">
        <w:rPr>
          <w:lang w:val="en-US"/>
        </w:rPr>
        <w:t xml:space="preserve">oan </w:t>
      </w:r>
      <w:r w:rsidR="00FE5831">
        <w:rPr>
          <w:lang w:val="en-US"/>
        </w:rPr>
        <w:t xml:space="preserve">Product </w:t>
      </w:r>
      <w:r w:rsidR="00FE5831" w:rsidRPr="00194111">
        <w:rPr>
          <w:lang w:val="en-US"/>
        </w:rPr>
        <w:t xml:space="preserve">- a </w:t>
      </w:r>
      <w:r w:rsidR="00FE5831">
        <w:rPr>
          <w:lang w:val="en-US"/>
        </w:rPr>
        <w:t>targeted</w:t>
      </w:r>
      <w:r w:rsidR="00FE5831" w:rsidRPr="00194111">
        <w:rPr>
          <w:lang w:val="en-US"/>
        </w:rPr>
        <w:t xml:space="preserve"> loan product </w:t>
      </w:r>
      <w:r w:rsidR="00FE5831">
        <w:rPr>
          <w:lang w:val="en-US"/>
        </w:rPr>
        <w:t xml:space="preserve">designed to </w:t>
      </w:r>
      <w:r w:rsidR="00FE5831" w:rsidRPr="00194111">
        <w:rPr>
          <w:lang w:val="en-US"/>
        </w:rPr>
        <w:t>financ</w:t>
      </w:r>
      <w:r w:rsidR="00FE5831">
        <w:rPr>
          <w:lang w:val="en-US"/>
        </w:rPr>
        <w:t>e</w:t>
      </w:r>
      <w:r w:rsidR="00FE5831" w:rsidRPr="00194111">
        <w:rPr>
          <w:lang w:val="en-US"/>
        </w:rPr>
        <w:t xml:space="preserve"> projects aimed at improving the efficiency of u</w:t>
      </w:r>
      <w:r w:rsidR="00FE5831">
        <w:rPr>
          <w:lang w:val="en-US"/>
        </w:rPr>
        <w:t xml:space="preserve">sing the </w:t>
      </w:r>
      <w:r w:rsidR="00FE5831" w:rsidRPr="00194111">
        <w:rPr>
          <w:lang w:val="en-US"/>
        </w:rPr>
        <w:t xml:space="preserve">existing natural resources, reducing the negative </w:t>
      </w:r>
      <w:r w:rsidR="007E6CD0">
        <w:rPr>
          <w:lang w:val="en-US"/>
        </w:rPr>
        <w:t xml:space="preserve">environmental </w:t>
      </w:r>
      <w:r w:rsidR="00FE5831" w:rsidRPr="00194111">
        <w:rPr>
          <w:lang w:val="en-US"/>
        </w:rPr>
        <w:t xml:space="preserve">impact, improving energy efficiency, energy saving, climate change mitigation or adaptation. These projects </w:t>
      </w:r>
      <w:r w:rsidR="00FE5831">
        <w:rPr>
          <w:lang w:val="en-US"/>
        </w:rPr>
        <w:t>meet</w:t>
      </w:r>
      <w:r w:rsidR="00FE5831" w:rsidRPr="00194111">
        <w:rPr>
          <w:lang w:val="en-US"/>
        </w:rPr>
        <w:t xml:space="preserve"> the national taxonomy </w:t>
      </w:r>
      <w:r w:rsidR="00FE5831">
        <w:rPr>
          <w:lang w:val="en-US"/>
        </w:rPr>
        <w:t>of</w:t>
      </w:r>
      <w:r w:rsidR="00FE5831" w:rsidRPr="00194111">
        <w:rPr>
          <w:lang w:val="en-US"/>
        </w:rPr>
        <w:t xml:space="preserve"> green projects (</w:t>
      </w:r>
      <w:r w:rsidR="00FE5831">
        <w:rPr>
          <w:lang w:val="en-US"/>
        </w:rPr>
        <w:t>Decree</w:t>
      </w:r>
      <w:r w:rsidR="00FE5831" w:rsidRPr="00194111">
        <w:rPr>
          <w:lang w:val="en-US"/>
        </w:rPr>
        <w:t xml:space="preserve"> of the Government of the Republic of Kazakhstan No. 996 dated 31 December 2021 </w:t>
      </w:r>
      <w:r w:rsidR="00FE5831">
        <w:rPr>
          <w:lang w:val="en-US"/>
        </w:rPr>
        <w:t>“</w:t>
      </w:r>
      <w:r w:rsidR="00FE5831" w:rsidRPr="00194111">
        <w:rPr>
          <w:lang w:val="en-US"/>
        </w:rPr>
        <w:t xml:space="preserve">On Approval of the Classification (Taxonomy) </w:t>
      </w:r>
      <w:r w:rsidR="00FE5831">
        <w:rPr>
          <w:lang w:val="en-US"/>
        </w:rPr>
        <w:t>of</w:t>
      </w:r>
      <w:r w:rsidR="00FE5831" w:rsidRPr="00194111">
        <w:rPr>
          <w:lang w:val="en-US"/>
        </w:rPr>
        <w:t xml:space="preserve"> Green Projects to be Financed through Green Bonds and Green Loans</w:t>
      </w:r>
      <w:r w:rsidR="00FE5831">
        <w:rPr>
          <w:lang w:val="en-US"/>
        </w:rPr>
        <w:t>”</w:t>
      </w:r>
      <w:r w:rsidR="00FE5831" w:rsidRPr="00194111">
        <w:rPr>
          <w:lang w:val="en-US"/>
        </w:rPr>
        <w:t>). The</w:t>
      </w:r>
      <w:r w:rsidR="00FE5831" w:rsidRPr="00FE5831">
        <w:rPr>
          <w:lang w:val="en-US"/>
        </w:rPr>
        <w:t xml:space="preserve"> </w:t>
      </w:r>
      <w:r w:rsidR="00FE5831" w:rsidRPr="0098441C">
        <w:rPr>
          <w:lang w:val="en-US"/>
        </w:rPr>
        <w:t>upper</w:t>
      </w:r>
      <w:r w:rsidR="00FE5831" w:rsidRPr="00FE5831">
        <w:rPr>
          <w:lang w:val="en-US"/>
        </w:rPr>
        <w:t xml:space="preserve"> </w:t>
      </w:r>
      <w:r w:rsidR="00FE5831" w:rsidRPr="0098441C">
        <w:rPr>
          <w:lang w:val="en-US"/>
        </w:rPr>
        <w:t>tier</w:t>
      </w:r>
      <w:r w:rsidR="00FE5831" w:rsidRPr="00FE5831">
        <w:rPr>
          <w:lang w:val="en-US"/>
        </w:rPr>
        <w:t xml:space="preserve"> </w:t>
      </w:r>
      <w:r w:rsidR="00FE5831" w:rsidRPr="0098441C">
        <w:rPr>
          <w:lang w:val="en-US"/>
        </w:rPr>
        <w:t>categories</w:t>
      </w:r>
      <w:r w:rsidR="00FE5831" w:rsidRPr="00FE5831">
        <w:rPr>
          <w:lang w:val="en-US"/>
        </w:rPr>
        <w:t xml:space="preserve"> </w:t>
      </w:r>
      <w:r w:rsidR="00FE5831" w:rsidRPr="00194111">
        <w:rPr>
          <w:lang w:val="en-US"/>
        </w:rPr>
        <w:t>of</w:t>
      </w:r>
      <w:r w:rsidR="00FE5831" w:rsidRPr="00FE5831">
        <w:rPr>
          <w:lang w:val="en-US"/>
        </w:rPr>
        <w:t xml:space="preserve"> </w:t>
      </w:r>
      <w:r w:rsidR="00FE5831" w:rsidRPr="00194111">
        <w:rPr>
          <w:lang w:val="en-US"/>
        </w:rPr>
        <w:t>these</w:t>
      </w:r>
      <w:r w:rsidR="00FE5831" w:rsidRPr="00FE5831">
        <w:rPr>
          <w:lang w:val="en-US"/>
        </w:rPr>
        <w:t xml:space="preserve"> </w:t>
      </w:r>
      <w:r w:rsidR="00FE5831" w:rsidRPr="00194111">
        <w:rPr>
          <w:lang w:val="en-US"/>
        </w:rPr>
        <w:t>projects</w:t>
      </w:r>
      <w:r w:rsidR="00FE5831" w:rsidRPr="00FE5831">
        <w:rPr>
          <w:lang w:val="en-US"/>
        </w:rPr>
        <w:t xml:space="preserve"> </w:t>
      </w:r>
      <w:r w:rsidR="00FE5831" w:rsidRPr="00194111">
        <w:rPr>
          <w:lang w:val="en-US"/>
        </w:rPr>
        <w:t>are</w:t>
      </w:r>
      <w:r w:rsidR="00FE5831" w:rsidRPr="00FE5831">
        <w:rPr>
          <w:lang w:val="en-US"/>
        </w:rPr>
        <w:t xml:space="preserve"> </w:t>
      </w:r>
      <w:r w:rsidR="00FE5831" w:rsidRPr="00194111">
        <w:rPr>
          <w:lang w:val="en-US"/>
        </w:rPr>
        <w:t>reflected</w:t>
      </w:r>
      <w:r w:rsidR="00FE5831" w:rsidRPr="00FE5831">
        <w:rPr>
          <w:lang w:val="en-US"/>
        </w:rPr>
        <w:t xml:space="preserve"> </w:t>
      </w:r>
      <w:r w:rsidR="00FE5831" w:rsidRPr="00194111">
        <w:rPr>
          <w:lang w:val="en-US"/>
        </w:rPr>
        <w:t>in</w:t>
      </w:r>
      <w:r w:rsidR="00FE5831" w:rsidRPr="00FE5831">
        <w:rPr>
          <w:lang w:val="en-US"/>
        </w:rPr>
        <w:t xml:space="preserve"> </w:t>
      </w:r>
      <w:r w:rsidR="00FE5831" w:rsidRPr="00194111">
        <w:rPr>
          <w:lang w:val="en-US"/>
        </w:rPr>
        <w:t>subparagraphs</w:t>
      </w:r>
      <w:r w:rsidR="00FE5831" w:rsidRPr="00FE5831">
        <w:rPr>
          <w:lang w:val="en-US"/>
        </w:rPr>
        <w:t xml:space="preserve"> 1-7, </w:t>
      </w:r>
      <w:r w:rsidR="00FE5831">
        <w:rPr>
          <w:lang w:val="en-US"/>
        </w:rPr>
        <w:t>paragraph</w:t>
      </w:r>
      <w:r w:rsidR="00FE5831" w:rsidRPr="00FE5831">
        <w:rPr>
          <w:lang w:val="en-US"/>
        </w:rPr>
        <w:t xml:space="preserve"> 20 </w:t>
      </w:r>
      <w:r w:rsidR="00FE5831" w:rsidRPr="00194111">
        <w:rPr>
          <w:lang w:val="en-US"/>
        </w:rPr>
        <w:t>of</w:t>
      </w:r>
      <w:r w:rsidR="00FE5831" w:rsidRPr="00FE5831">
        <w:rPr>
          <w:lang w:val="en-US"/>
        </w:rPr>
        <w:t xml:space="preserve"> </w:t>
      </w:r>
      <w:r w:rsidR="00FE5831" w:rsidRPr="00194111">
        <w:rPr>
          <w:lang w:val="en-US"/>
        </w:rPr>
        <w:t>the</w:t>
      </w:r>
      <w:r w:rsidR="00FE5831" w:rsidRPr="00FE5831">
        <w:rPr>
          <w:lang w:val="en-US"/>
        </w:rPr>
        <w:t xml:space="preserve"> </w:t>
      </w:r>
      <w:r w:rsidR="00FE5831" w:rsidRPr="00194111">
        <w:rPr>
          <w:lang w:val="en-US"/>
        </w:rPr>
        <w:t>Policy</w:t>
      </w:r>
      <w:r w:rsidRPr="00FE5831">
        <w:rPr>
          <w:lang w:val="en-US"/>
        </w:rPr>
        <w:t xml:space="preserve">. </w:t>
      </w:r>
    </w:p>
    <w:p w14:paraId="6C6D4737" w14:textId="4C8662BD" w:rsidR="00F2456E" w:rsidRPr="000C47C9" w:rsidRDefault="00F2456E" w:rsidP="00F2456E">
      <w:pPr>
        <w:tabs>
          <w:tab w:val="left" w:pos="709"/>
        </w:tabs>
        <w:spacing w:after="0" w:line="240" w:lineRule="auto"/>
        <w:ind w:left="851" w:hanging="425"/>
        <w:jc w:val="both"/>
        <w:rPr>
          <w:lang w:val="en-US"/>
        </w:rPr>
      </w:pPr>
      <w:r w:rsidRPr="00FE5831">
        <w:rPr>
          <w:lang w:val="en-US"/>
        </w:rPr>
        <w:t xml:space="preserve">2)  </w:t>
      </w:r>
      <w:r w:rsidR="00FE5831" w:rsidRPr="0098441C">
        <w:rPr>
          <w:lang w:val="en-US"/>
        </w:rPr>
        <w:t xml:space="preserve">Transitional </w:t>
      </w:r>
      <w:r w:rsidR="00FE5831">
        <w:rPr>
          <w:lang w:val="en-US"/>
        </w:rPr>
        <w:t>L</w:t>
      </w:r>
      <w:r w:rsidR="00FE5831" w:rsidRPr="0098441C">
        <w:rPr>
          <w:lang w:val="en-US"/>
        </w:rPr>
        <w:t>oan</w:t>
      </w:r>
      <w:r w:rsidR="00FE5831" w:rsidRPr="00A65AD0">
        <w:rPr>
          <w:lang w:val="en-US"/>
        </w:rPr>
        <w:t xml:space="preserve"> </w:t>
      </w:r>
      <w:r w:rsidR="00FE5831">
        <w:rPr>
          <w:lang w:val="en-US"/>
        </w:rPr>
        <w:t>Product</w:t>
      </w:r>
      <w:r w:rsidR="00FE5831" w:rsidRPr="0098441C">
        <w:rPr>
          <w:lang w:val="en-US"/>
        </w:rPr>
        <w:t xml:space="preserve"> - a </w:t>
      </w:r>
      <w:r w:rsidR="00FE5831">
        <w:rPr>
          <w:lang w:val="en-US"/>
        </w:rPr>
        <w:t>targeted</w:t>
      </w:r>
      <w:r w:rsidR="00FE5831" w:rsidRPr="0098441C">
        <w:rPr>
          <w:lang w:val="en-US"/>
        </w:rPr>
        <w:t xml:space="preserve"> loan product that provides financing for projects aimed at improving the efficiency of</w:t>
      </w:r>
      <w:r w:rsidR="00FE5831">
        <w:rPr>
          <w:lang w:val="en-US"/>
        </w:rPr>
        <w:t xml:space="preserve"> using the</w:t>
      </w:r>
      <w:r w:rsidR="00FE5831" w:rsidRPr="0098441C">
        <w:rPr>
          <w:lang w:val="en-US"/>
        </w:rPr>
        <w:t xml:space="preserve"> existing natural resources, reducing the negative </w:t>
      </w:r>
      <w:r w:rsidR="007E6CD0">
        <w:rPr>
          <w:lang w:val="en-US"/>
        </w:rPr>
        <w:t xml:space="preserve">environmental </w:t>
      </w:r>
      <w:r w:rsidR="00FE5831">
        <w:rPr>
          <w:lang w:val="en-US"/>
        </w:rPr>
        <w:t>impact</w:t>
      </w:r>
      <w:r w:rsidR="00FE5831" w:rsidRPr="0098441C">
        <w:rPr>
          <w:lang w:val="en-US"/>
        </w:rPr>
        <w:t xml:space="preserve">, improving energy efficiency, energy saving, climate change mitigation or adaptation. These projects do not </w:t>
      </w:r>
      <w:r w:rsidR="00FE5831">
        <w:rPr>
          <w:lang w:val="en-US"/>
        </w:rPr>
        <w:t>meet</w:t>
      </w:r>
      <w:r w:rsidR="00FE5831" w:rsidRPr="0098441C">
        <w:rPr>
          <w:lang w:val="en-US"/>
        </w:rPr>
        <w:t xml:space="preserve"> the national taxonomy </w:t>
      </w:r>
      <w:r w:rsidR="00FE5831">
        <w:rPr>
          <w:lang w:val="en-US"/>
        </w:rPr>
        <w:t>of</w:t>
      </w:r>
      <w:r w:rsidR="00FE5831" w:rsidRPr="0098441C">
        <w:rPr>
          <w:lang w:val="en-US"/>
        </w:rPr>
        <w:t xml:space="preserve"> green projects, but contribute to </w:t>
      </w:r>
      <w:r w:rsidR="00FE5831">
        <w:rPr>
          <w:lang w:val="en-US"/>
        </w:rPr>
        <w:t xml:space="preserve">achieving </w:t>
      </w:r>
      <w:r w:rsidR="00FE5831" w:rsidRPr="0098441C">
        <w:rPr>
          <w:lang w:val="en-US"/>
        </w:rPr>
        <w:t xml:space="preserve">positive effects in the efficiency </w:t>
      </w:r>
      <w:r w:rsidR="00FE5831">
        <w:rPr>
          <w:lang w:val="en-US"/>
        </w:rPr>
        <w:t xml:space="preserve">of using the </w:t>
      </w:r>
      <w:r w:rsidR="00FE5831" w:rsidRPr="0098441C">
        <w:rPr>
          <w:lang w:val="en-US"/>
        </w:rPr>
        <w:t>existing natural resources, reduction of negative environmental impacts,</w:t>
      </w:r>
      <w:r w:rsidR="00FE5831">
        <w:rPr>
          <w:lang w:val="en-US"/>
        </w:rPr>
        <w:t xml:space="preserve"> improvement of</w:t>
      </w:r>
      <w:r w:rsidR="00FE5831" w:rsidRPr="0098441C">
        <w:rPr>
          <w:lang w:val="en-US"/>
        </w:rPr>
        <w:t xml:space="preserve"> energy efficiency, energy </w:t>
      </w:r>
      <w:r w:rsidR="00FE5831">
        <w:rPr>
          <w:lang w:val="en-US"/>
        </w:rPr>
        <w:t>saving</w:t>
      </w:r>
      <w:r w:rsidR="00FE5831" w:rsidRPr="0098441C">
        <w:rPr>
          <w:lang w:val="en-US"/>
        </w:rPr>
        <w:t>, climate change mitigation or adaptation. The</w:t>
      </w:r>
      <w:r w:rsidR="00FE5831" w:rsidRPr="00FE5831">
        <w:rPr>
          <w:lang w:val="en-US"/>
        </w:rPr>
        <w:t xml:space="preserve"> </w:t>
      </w:r>
      <w:r w:rsidR="00FE5831" w:rsidRPr="0098441C">
        <w:rPr>
          <w:lang w:val="en-US"/>
        </w:rPr>
        <w:t>upper</w:t>
      </w:r>
      <w:r w:rsidR="00FE5831" w:rsidRPr="00FE5831">
        <w:rPr>
          <w:lang w:val="en-US"/>
        </w:rPr>
        <w:t xml:space="preserve"> </w:t>
      </w:r>
      <w:r w:rsidR="00FE5831" w:rsidRPr="0098441C">
        <w:rPr>
          <w:lang w:val="en-US"/>
        </w:rPr>
        <w:t>tier</w:t>
      </w:r>
      <w:r w:rsidR="00FE5831" w:rsidRPr="00FE5831">
        <w:rPr>
          <w:lang w:val="en-US"/>
        </w:rPr>
        <w:t xml:space="preserve"> </w:t>
      </w:r>
      <w:r w:rsidR="00FE5831" w:rsidRPr="0098441C">
        <w:rPr>
          <w:lang w:val="en-US"/>
        </w:rPr>
        <w:t>categories</w:t>
      </w:r>
      <w:r w:rsidR="00FE5831" w:rsidRPr="00FE5831">
        <w:rPr>
          <w:lang w:val="en-US"/>
        </w:rPr>
        <w:t xml:space="preserve"> </w:t>
      </w:r>
      <w:r w:rsidR="00FE5831" w:rsidRPr="0098441C">
        <w:rPr>
          <w:lang w:val="en-US"/>
        </w:rPr>
        <w:t>of</w:t>
      </w:r>
      <w:r w:rsidR="00FE5831" w:rsidRPr="00FE5831">
        <w:rPr>
          <w:lang w:val="en-US"/>
        </w:rPr>
        <w:t xml:space="preserve"> </w:t>
      </w:r>
      <w:r w:rsidR="000C47C9">
        <w:rPr>
          <w:lang w:val="en-US"/>
        </w:rPr>
        <w:t xml:space="preserve">such </w:t>
      </w:r>
      <w:r w:rsidR="00FE5831" w:rsidRPr="0098441C">
        <w:rPr>
          <w:lang w:val="en-US"/>
        </w:rPr>
        <w:t>projects</w:t>
      </w:r>
      <w:r w:rsidR="00FE5831" w:rsidRPr="00FE5831">
        <w:rPr>
          <w:lang w:val="en-US"/>
        </w:rPr>
        <w:t xml:space="preserve"> </w:t>
      </w:r>
      <w:r w:rsidR="00FE5831" w:rsidRPr="0098441C">
        <w:rPr>
          <w:lang w:val="en-US"/>
        </w:rPr>
        <w:t>are</w:t>
      </w:r>
      <w:r w:rsidR="00FE5831" w:rsidRPr="00FE5831">
        <w:rPr>
          <w:lang w:val="en-US"/>
        </w:rPr>
        <w:t xml:space="preserve"> </w:t>
      </w:r>
      <w:r w:rsidR="00FE5831">
        <w:rPr>
          <w:lang w:val="en-US"/>
        </w:rPr>
        <w:t>described</w:t>
      </w:r>
      <w:r w:rsidR="00FE5831" w:rsidRPr="00FE5831">
        <w:rPr>
          <w:lang w:val="en-US"/>
        </w:rPr>
        <w:t xml:space="preserve"> </w:t>
      </w:r>
      <w:r w:rsidR="00FE5831" w:rsidRPr="0098441C">
        <w:rPr>
          <w:lang w:val="en-US"/>
        </w:rPr>
        <w:t>in</w:t>
      </w:r>
      <w:r w:rsidR="00FE5831" w:rsidRPr="00FE5831">
        <w:rPr>
          <w:lang w:val="en-US"/>
        </w:rPr>
        <w:t xml:space="preserve"> </w:t>
      </w:r>
      <w:r w:rsidR="00FE5831" w:rsidRPr="0098441C">
        <w:rPr>
          <w:lang w:val="en-US"/>
        </w:rPr>
        <w:t>paragraph</w:t>
      </w:r>
      <w:r w:rsidR="00FE5831" w:rsidRPr="00FE5831">
        <w:rPr>
          <w:lang w:val="en-US"/>
        </w:rPr>
        <w:t xml:space="preserve"> 2</w:t>
      </w:r>
      <w:r w:rsidR="000C47C9">
        <w:rPr>
          <w:lang w:val="en-US"/>
        </w:rPr>
        <w:t>7</w:t>
      </w:r>
      <w:r w:rsidR="00FE5831" w:rsidRPr="00FE5831">
        <w:rPr>
          <w:lang w:val="en-US"/>
        </w:rPr>
        <w:t xml:space="preserve"> </w:t>
      </w:r>
      <w:r w:rsidR="00FE5831" w:rsidRPr="0098441C">
        <w:rPr>
          <w:lang w:val="en-US"/>
        </w:rPr>
        <w:t>of</w:t>
      </w:r>
      <w:r w:rsidR="00FE5831" w:rsidRPr="00FE5831">
        <w:rPr>
          <w:lang w:val="en-US"/>
        </w:rPr>
        <w:t xml:space="preserve"> </w:t>
      </w:r>
      <w:r w:rsidR="00FE5831" w:rsidRPr="0098441C">
        <w:rPr>
          <w:lang w:val="en-US"/>
        </w:rPr>
        <w:t>the</w:t>
      </w:r>
      <w:r w:rsidR="00FE5831" w:rsidRPr="00FE5831">
        <w:rPr>
          <w:lang w:val="en-US"/>
        </w:rPr>
        <w:t xml:space="preserve"> </w:t>
      </w:r>
      <w:r w:rsidR="00FE5831" w:rsidRPr="0098441C">
        <w:rPr>
          <w:lang w:val="en-US"/>
        </w:rPr>
        <w:t>Policy</w:t>
      </w:r>
      <w:r w:rsidRPr="000C47C9">
        <w:rPr>
          <w:lang w:val="en-US"/>
        </w:rPr>
        <w:t>.</w:t>
      </w:r>
    </w:p>
    <w:p w14:paraId="3752030A" w14:textId="44142B0D" w:rsidR="00F2456E" w:rsidRPr="00F8326F" w:rsidRDefault="00F2456E" w:rsidP="00F2456E">
      <w:pPr>
        <w:tabs>
          <w:tab w:val="left" w:pos="709"/>
        </w:tabs>
        <w:spacing w:after="0" w:line="240" w:lineRule="auto"/>
        <w:ind w:left="851" w:hanging="425"/>
        <w:jc w:val="both"/>
        <w:rPr>
          <w:lang w:val="en-US"/>
        </w:rPr>
      </w:pPr>
      <w:r w:rsidRPr="000C47C9">
        <w:rPr>
          <w:lang w:val="en-US"/>
        </w:rPr>
        <w:t xml:space="preserve">3)  </w:t>
      </w:r>
      <w:r w:rsidR="000C47C9" w:rsidRPr="0098441C">
        <w:rPr>
          <w:lang w:val="en-US"/>
        </w:rPr>
        <w:t xml:space="preserve">Social </w:t>
      </w:r>
      <w:r w:rsidR="000C47C9">
        <w:rPr>
          <w:lang w:val="en-US"/>
        </w:rPr>
        <w:t>L</w:t>
      </w:r>
      <w:r w:rsidR="000C47C9" w:rsidRPr="0098441C">
        <w:rPr>
          <w:lang w:val="en-US"/>
        </w:rPr>
        <w:t>oan</w:t>
      </w:r>
      <w:r w:rsidR="000C47C9" w:rsidRPr="00A65AD0">
        <w:rPr>
          <w:lang w:val="en-US"/>
        </w:rPr>
        <w:t xml:space="preserve"> </w:t>
      </w:r>
      <w:r w:rsidR="000C47C9">
        <w:rPr>
          <w:lang w:val="en-US"/>
        </w:rPr>
        <w:t>Product</w:t>
      </w:r>
      <w:r w:rsidR="000C47C9" w:rsidRPr="0098441C">
        <w:rPr>
          <w:lang w:val="en-US"/>
        </w:rPr>
        <w:t xml:space="preserve"> - financing of projects related to </w:t>
      </w:r>
      <w:r w:rsidR="000C47C9">
        <w:rPr>
          <w:lang w:val="en-US"/>
        </w:rPr>
        <w:t>development of health</w:t>
      </w:r>
      <w:r w:rsidR="000C47C9" w:rsidRPr="0098441C">
        <w:rPr>
          <w:lang w:val="en-US"/>
        </w:rPr>
        <w:t>care</w:t>
      </w:r>
      <w:r w:rsidR="000C47C9">
        <w:rPr>
          <w:lang w:val="en-US"/>
        </w:rPr>
        <w:t xml:space="preserve">, </w:t>
      </w:r>
      <w:r w:rsidR="000C47C9" w:rsidRPr="0098441C">
        <w:rPr>
          <w:lang w:val="en-US"/>
        </w:rPr>
        <w:t xml:space="preserve">education, sports, culture and art </w:t>
      </w:r>
      <w:r w:rsidR="000C47C9">
        <w:rPr>
          <w:lang w:val="en-US"/>
        </w:rPr>
        <w:t>facilities/systems,</w:t>
      </w:r>
      <w:r w:rsidR="000C47C9" w:rsidRPr="0098441C">
        <w:rPr>
          <w:lang w:val="en-US"/>
        </w:rPr>
        <w:t xml:space="preserve"> provision of affordable and comfortable housing and other areas. These projects </w:t>
      </w:r>
      <w:r w:rsidR="000C47C9">
        <w:rPr>
          <w:lang w:val="en-US"/>
        </w:rPr>
        <w:t>meet</w:t>
      </w:r>
      <w:r w:rsidR="000C47C9" w:rsidRPr="0098441C">
        <w:rPr>
          <w:lang w:val="en-US"/>
        </w:rPr>
        <w:t xml:space="preserve"> the national taxonomy </w:t>
      </w:r>
      <w:r w:rsidR="000C47C9">
        <w:rPr>
          <w:lang w:val="en-US"/>
        </w:rPr>
        <w:t>of</w:t>
      </w:r>
      <w:r w:rsidR="000C47C9" w:rsidRPr="0098441C">
        <w:rPr>
          <w:lang w:val="en-US"/>
        </w:rPr>
        <w:t xml:space="preserve"> social projects after approval of the national taxonomy </w:t>
      </w:r>
      <w:r w:rsidR="000C47C9">
        <w:rPr>
          <w:lang w:val="en-US"/>
        </w:rPr>
        <w:t>for</w:t>
      </w:r>
      <w:r w:rsidR="000C47C9" w:rsidRPr="0098441C">
        <w:rPr>
          <w:lang w:val="en-US"/>
        </w:rPr>
        <w:t xml:space="preserve"> social projects, before approval of the national taxonomy </w:t>
      </w:r>
      <w:r w:rsidR="000C47C9">
        <w:rPr>
          <w:lang w:val="en-US"/>
        </w:rPr>
        <w:t>for</w:t>
      </w:r>
      <w:r w:rsidR="000C47C9" w:rsidRPr="0098441C">
        <w:rPr>
          <w:lang w:val="en-US"/>
        </w:rPr>
        <w:t xml:space="preserve"> social projects - criteria for the use of funds </w:t>
      </w:r>
      <w:r w:rsidR="00F8326F">
        <w:rPr>
          <w:lang w:val="en-US"/>
        </w:rPr>
        <w:t>as set out i</w:t>
      </w:r>
      <w:r w:rsidR="000C47C9" w:rsidRPr="0098441C">
        <w:rPr>
          <w:lang w:val="en-US"/>
        </w:rPr>
        <w:t>n the ICMA Social Bond Principles</w:t>
      </w:r>
      <w:r w:rsidRPr="00F8326F">
        <w:rPr>
          <w:lang w:val="en-US"/>
        </w:rPr>
        <w:t>;</w:t>
      </w:r>
    </w:p>
    <w:p w14:paraId="604B6C6D" w14:textId="0F6264E3" w:rsidR="00F2456E" w:rsidRPr="00F8326F" w:rsidRDefault="00F2456E" w:rsidP="00F2456E">
      <w:pPr>
        <w:tabs>
          <w:tab w:val="left" w:pos="709"/>
        </w:tabs>
        <w:spacing w:after="0" w:line="240" w:lineRule="auto"/>
        <w:ind w:left="851" w:hanging="425"/>
        <w:jc w:val="both"/>
        <w:rPr>
          <w:lang w:val="en-US"/>
        </w:rPr>
      </w:pPr>
      <w:r w:rsidRPr="00F8326F">
        <w:rPr>
          <w:lang w:val="en-US"/>
        </w:rPr>
        <w:t xml:space="preserve">4)   </w:t>
      </w:r>
      <w:r w:rsidR="00F8326F">
        <w:rPr>
          <w:lang w:val="en-US"/>
        </w:rPr>
        <w:t>Green</w:t>
      </w:r>
      <w:r w:rsidR="00F8326F" w:rsidRPr="0098441C">
        <w:rPr>
          <w:lang w:val="en-US"/>
        </w:rPr>
        <w:t xml:space="preserve"> </w:t>
      </w:r>
      <w:r w:rsidR="00F8326F">
        <w:rPr>
          <w:lang w:val="en-US"/>
        </w:rPr>
        <w:t>Economy</w:t>
      </w:r>
      <w:r w:rsidR="00F8326F" w:rsidRPr="0098441C">
        <w:rPr>
          <w:lang w:val="en-US"/>
        </w:rPr>
        <w:t xml:space="preserve"> </w:t>
      </w:r>
      <w:r w:rsidR="00F8326F">
        <w:rPr>
          <w:lang w:val="en-US"/>
        </w:rPr>
        <w:t>Financing Facility</w:t>
      </w:r>
      <w:r w:rsidR="00F8326F" w:rsidRPr="0098441C">
        <w:rPr>
          <w:lang w:val="en-US"/>
        </w:rPr>
        <w:t xml:space="preserve"> (</w:t>
      </w:r>
      <w:r w:rsidR="00F8326F">
        <w:rPr>
          <w:lang w:val="en-US"/>
        </w:rPr>
        <w:t>GEFF</w:t>
      </w:r>
      <w:r w:rsidR="00F8326F" w:rsidRPr="0098441C">
        <w:rPr>
          <w:lang w:val="en-US"/>
        </w:rPr>
        <w:t xml:space="preserve">) - financing </w:t>
      </w:r>
      <w:r w:rsidR="00F8326F">
        <w:rPr>
          <w:lang w:val="en-US"/>
        </w:rPr>
        <w:t xml:space="preserve">provided </w:t>
      </w:r>
      <w:r w:rsidR="00F8326F" w:rsidRPr="0098441C">
        <w:rPr>
          <w:lang w:val="en-US"/>
        </w:rPr>
        <w:t xml:space="preserve">under the </w:t>
      </w:r>
      <w:r w:rsidR="00F8326F">
        <w:rPr>
          <w:lang w:val="en-US"/>
        </w:rPr>
        <w:t>lending</w:t>
      </w:r>
      <w:r w:rsidR="00F8326F" w:rsidRPr="0098441C">
        <w:rPr>
          <w:lang w:val="en-US"/>
        </w:rPr>
        <w:t xml:space="preserve"> programme of the European Bank for Reconstruction and Development </w:t>
      </w:r>
      <w:r w:rsidR="00F8326F">
        <w:rPr>
          <w:lang w:val="en-US"/>
        </w:rPr>
        <w:t>–</w:t>
      </w:r>
      <w:r w:rsidR="00F8326F" w:rsidRPr="0098441C">
        <w:rPr>
          <w:lang w:val="en-US"/>
        </w:rPr>
        <w:t xml:space="preserve"> </w:t>
      </w:r>
      <w:r w:rsidR="00F8326F">
        <w:rPr>
          <w:lang w:val="en-US"/>
        </w:rPr>
        <w:t>“</w:t>
      </w:r>
      <w:r w:rsidR="00F8326F" w:rsidRPr="0098441C">
        <w:rPr>
          <w:lang w:val="en-US"/>
        </w:rPr>
        <w:t>GEFF - Green Technology Financing</w:t>
      </w:r>
      <w:r w:rsidR="00F8326F" w:rsidRPr="00F8326F">
        <w:rPr>
          <w:lang w:val="en-US"/>
        </w:rPr>
        <w:t xml:space="preserve"> </w:t>
      </w:r>
      <w:r w:rsidR="00F8326F">
        <w:rPr>
          <w:lang w:val="en-US"/>
        </w:rPr>
        <w:t>Facility”</w:t>
      </w:r>
      <w:r w:rsidRPr="00F8326F">
        <w:rPr>
          <w:lang w:val="en-US"/>
        </w:rPr>
        <w:t>;</w:t>
      </w:r>
    </w:p>
    <w:p w14:paraId="488B6A9D" w14:textId="466EA38D" w:rsidR="00F2456E" w:rsidRPr="00F8326F" w:rsidRDefault="00F2456E" w:rsidP="00F2456E">
      <w:pPr>
        <w:tabs>
          <w:tab w:val="left" w:pos="709"/>
        </w:tabs>
        <w:spacing w:after="0" w:line="240" w:lineRule="auto"/>
        <w:ind w:left="851" w:hanging="425"/>
        <w:jc w:val="both"/>
        <w:rPr>
          <w:lang w:val="en-US"/>
        </w:rPr>
      </w:pPr>
      <w:r w:rsidRPr="00F8326F">
        <w:rPr>
          <w:lang w:val="en-US"/>
        </w:rPr>
        <w:t xml:space="preserve">5)   </w:t>
      </w:r>
      <w:r w:rsidR="00F8326F">
        <w:rPr>
          <w:lang w:val="en-US"/>
        </w:rPr>
        <w:t>Sustainability</w:t>
      </w:r>
      <w:r w:rsidR="00F8326F" w:rsidRPr="00A65AD0">
        <w:rPr>
          <w:lang w:val="en-US"/>
        </w:rPr>
        <w:t>-</w:t>
      </w:r>
      <w:r w:rsidR="00F8326F">
        <w:rPr>
          <w:lang w:val="en-US"/>
        </w:rPr>
        <w:t>Linked</w:t>
      </w:r>
      <w:r w:rsidR="00F8326F" w:rsidRPr="00A65AD0">
        <w:rPr>
          <w:lang w:val="en-US"/>
        </w:rPr>
        <w:t xml:space="preserve"> </w:t>
      </w:r>
      <w:r w:rsidR="00F8326F">
        <w:rPr>
          <w:lang w:val="en-US"/>
        </w:rPr>
        <w:t>Loan</w:t>
      </w:r>
      <w:r w:rsidR="00F8326F" w:rsidRPr="00A65AD0">
        <w:rPr>
          <w:lang w:val="en-US"/>
        </w:rPr>
        <w:t xml:space="preserve"> </w:t>
      </w:r>
      <w:r w:rsidR="00F8326F">
        <w:rPr>
          <w:lang w:val="en-US"/>
        </w:rPr>
        <w:t>Product</w:t>
      </w:r>
      <w:r w:rsidR="00F8326F" w:rsidRPr="00A65AD0">
        <w:rPr>
          <w:lang w:val="en-US"/>
        </w:rPr>
        <w:t xml:space="preserve"> – a non-targeted loan product that requires the borrower to achieve sustainab</w:t>
      </w:r>
      <w:r w:rsidR="00F8326F">
        <w:rPr>
          <w:lang w:val="en-US"/>
        </w:rPr>
        <w:t>ility i</w:t>
      </w:r>
      <w:r w:rsidR="00F8326F" w:rsidRPr="00A65AD0">
        <w:rPr>
          <w:lang w:val="en-US"/>
        </w:rPr>
        <w:t xml:space="preserve">ndicators </w:t>
      </w:r>
      <w:r w:rsidR="00F8326F">
        <w:rPr>
          <w:lang w:val="en-US"/>
        </w:rPr>
        <w:t>as set out</w:t>
      </w:r>
      <w:r w:rsidR="00F8326F" w:rsidRPr="00A65AD0">
        <w:rPr>
          <w:lang w:val="en-US"/>
        </w:rPr>
        <w:t xml:space="preserve"> in the </w:t>
      </w:r>
      <w:r w:rsidR="00F8326F">
        <w:rPr>
          <w:lang w:val="en-US"/>
        </w:rPr>
        <w:t xml:space="preserve">Loan Agreement </w:t>
      </w:r>
      <w:r w:rsidR="00F8326F" w:rsidRPr="00A65AD0">
        <w:rPr>
          <w:lang w:val="en-US"/>
        </w:rPr>
        <w:t>terms</w:t>
      </w:r>
      <w:r w:rsidRPr="00F8326F">
        <w:rPr>
          <w:lang w:val="en-US"/>
        </w:rPr>
        <w:t>.</w:t>
      </w:r>
    </w:p>
    <w:p w14:paraId="2785DAC9" w14:textId="4FDD677B" w:rsidR="00F2456E" w:rsidRPr="00F8326F" w:rsidRDefault="00F8326F" w:rsidP="00F2456E">
      <w:pPr>
        <w:pStyle w:val="a7"/>
        <w:numPr>
          <w:ilvl w:val="0"/>
          <w:numId w:val="7"/>
        </w:numPr>
        <w:spacing w:after="0" w:line="240" w:lineRule="auto"/>
        <w:ind w:left="0" w:firstLine="0"/>
        <w:jc w:val="both"/>
        <w:rPr>
          <w:lang w:val="en-US"/>
        </w:rPr>
      </w:pPr>
      <w:r w:rsidRPr="00A65AD0">
        <w:rPr>
          <w:lang w:val="en-US"/>
        </w:rPr>
        <w:lastRenderedPageBreak/>
        <w:t xml:space="preserve">The </w:t>
      </w:r>
      <w:r>
        <w:rPr>
          <w:lang w:val="en-US"/>
        </w:rPr>
        <w:t xml:space="preserve">List of </w:t>
      </w:r>
      <w:r w:rsidRPr="00A65AD0">
        <w:rPr>
          <w:lang w:val="en-US"/>
        </w:rPr>
        <w:t>Green and/or Transition</w:t>
      </w:r>
      <w:r>
        <w:rPr>
          <w:lang w:val="en-US"/>
        </w:rPr>
        <w:t>al</w:t>
      </w:r>
      <w:r w:rsidRPr="00A65AD0">
        <w:rPr>
          <w:lang w:val="en-US"/>
        </w:rPr>
        <w:t xml:space="preserve"> Projects </w:t>
      </w:r>
      <w:r>
        <w:rPr>
          <w:lang w:val="en-US"/>
        </w:rPr>
        <w:t xml:space="preserve">shall </w:t>
      </w:r>
      <w:r w:rsidRPr="00A65AD0">
        <w:rPr>
          <w:lang w:val="en-US"/>
        </w:rPr>
        <w:t>contain the following list of upper-tier project categories</w:t>
      </w:r>
      <w:r w:rsidR="00F2456E" w:rsidRPr="00F8326F">
        <w:rPr>
          <w:lang w:val="en-US"/>
        </w:rPr>
        <w:t>:</w:t>
      </w:r>
    </w:p>
    <w:p w14:paraId="55270B03" w14:textId="3B68E326" w:rsidR="00F2456E" w:rsidRPr="00F8326F" w:rsidRDefault="00F8326F" w:rsidP="00F2456E">
      <w:pPr>
        <w:pStyle w:val="a7"/>
        <w:numPr>
          <w:ilvl w:val="0"/>
          <w:numId w:val="11"/>
        </w:numPr>
        <w:spacing w:after="0" w:line="240" w:lineRule="auto"/>
        <w:jc w:val="both"/>
        <w:rPr>
          <w:lang w:val="en-US"/>
        </w:rPr>
      </w:pPr>
      <w:r w:rsidRPr="00A65AD0">
        <w:rPr>
          <w:lang w:val="en-US"/>
        </w:rPr>
        <w:t xml:space="preserve">renewable energy (financing for the acquisition of: hydrogen production </w:t>
      </w:r>
      <w:r>
        <w:rPr>
          <w:lang w:val="en-US"/>
        </w:rPr>
        <w:t>units</w:t>
      </w:r>
      <w:r w:rsidRPr="00A65AD0">
        <w:rPr>
          <w:lang w:val="en-US"/>
        </w:rPr>
        <w:t xml:space="preserve"> using renewable energy; wind</w:t>
      </w:r>
      <w:r>
        <w:rPr>
          <w:lang w:val="en-US"/>
        </w:rPr>
        <w:t xml:space="preserve"> energy, </w:t>
      </w:r>
      <w:r w:rsidRPr="00A65AD0">
        <w:rPr>
          <w:lang w:val="en-US"/>
        </w:rPr>
        <w:t>solar</w:t>
      </w:r>
      <w:r>
        <w:rPr>
          <w:lang w:val="en-US"/>
        </w:rPr>
        <w:t xml:space="preserve"> energy</w:t>
      </w:r>
      <w:r w:rsidRPr="00A65AD0">
        <w:rPr>
          <w:lang w:val="en-US"/>
        </w:rPr>
        <w:t>, geothermal</w:t>
      </w:r>
      <w:r>
        <w:rPr>
          <w:lang w:val="en-US"/>
        </w:rPr>
        <w:t xml:space="preserve"> energy</w:t>
      </w:r>
      <w:r w:rsidRPr="00A65AD0">
        <w:rPr>
          <w:lang w:val="en-US"/>
        </w:rPr>
        <w:t>, hydro</w:t>
      </w:r>
      <w:r w:rsidR="000234B8">
        <w:rPr>
          <w:lang w:val="en-US"/>
        </w:rPr>
        <w:t xml:space="preserve"> </w:t>
      </w:r>
      <w:r w:rsidR="00AA554A">
        <w:rPr>
          <w:lang w:val="en-US"/>
        </w:rPr>
        <w:t>energy,</w:t>
      </w:r>
      <w:r w:rsidRPr="00A65AD0">
        <w:rPr>
          <w:lang w:val="en-US"/>
        </w:rPr>
        <w:t xml:space="preserve"> and bioenergy</w:t>
      </w:r>
      <w:r>
        <w:rPr>
          <w:lang w:val="en-US"/>
        </w:rPr>
        <w:t xml:space="preserve"> production </w:t>
      </w:r>
      <w:r w:rsidRPr="00A65AD0">
        <w:rPr>
          <w:lang w:val="en-US"/>
        </w:rPr>
        <w:t xml:space="preserve">equipment; installation and acquisition of other </w:t>
      </w:r>
      <w:r>
        <w:rPr>
          <w:lang w:val="en-US"/>
        </w:rPr>
        <w:t>launching</w:t>
      </w:r>
      <w:r w:rsidRPr="00A65AD0">
        <w:rPr>
          <w:lang w:val="en-US"/>
        </w:rPr>
        <w:t xml:space="preserve"> works/services</w:t>
      </w:r>
      <w:r w:rsidR="00F2456E" w:rsidRPr="00F8326F">
        <w:rPr>
          <w:lang w:val="en-US"/>
        </w:rPr>
        <w:t>);</w:t>
      </w:r>
    </w:p>
    <w:p w14:paraId="55DE628E" w14:textId="25DDDBB4" w:rsidR="00F2456E" w:rsidRPr="00F8326F" w:rsidRDefault="00F8326F" w:rsidP="00F2456E">
      <w:pPr>
        <w:pStyle w:val="a7"/>
        <w:numPr>
          <w:ilvl w:val="0"/>
          <w:numId w:val="11"/>
        </w:numPr>
        <w:spacing w:after="0" w:line="240" w:lineRule="auto"/>
        <w:ind w:left="709" w:hanging="283"/>
        <w:jc w:val="both"/>
        <w:rPr>
          <w:lang w:val="en-US"/>
        </w:rPr>
      </w:pPr>
      <w:r w:rsidRPr="00A65AD0">
        <w:rPr>
          <w:lang w:val="en-US"/>
        </w:rPr>
        <w:t xml:space="preserve">energy efficiency (provision of loan </w:t>
      </w:r>
      <w:r>
        <w:rPr>
          <w:lang w:val="en-US"/>
        </w:rPr>
        <w:t xml:space="preserve">proceeds </w:t>
      </w:r>
      <w:r w:rsidRPr="00A65AD0">
        <w:rPr>
          <w:lang w:val="en-US"/>
        </w:rPr>
        <w:t xml:space="preserve">for projects aimed at improving energy efficiency of existing and under-construction industrial facilities, </w:t>
      </w:r>
      <w:r>
        <w:rPr>
          <w:lang w:val="en-US"/>
        </w:rPr>
        <w:t xml:space="preserve">improving </w:t>
      </w:r>
      <w:r w:rsidRPr="00A65AD0">
        <w:rPr>
          <w:lang w:val="en-US"/>
        </w:rPr>
        <w:t>energy efficiency in the budget and utility sector, energy efficient buildings, structures and facilities)</w:t>
      </w:r>
      <w:r w:rsidR="00F2456E" w:rsidRPr="00F8326F">
        <w:rPr>
          <w:lang w:val="en-US"/>
        </w:rPr>
        <w:t>;</w:t>
      </w:r>
    </w:p>
    <w:p w14:paraId="4F77D413" w14:textId="50D4606B" w:rsidR="00F2456E" w:rsidRPr="00F8326F" w:rsidRDefault="00F8326F" w:rsidP="00F2456E">
      <w:pPr>
        <w:pStyle w:val="a7"/>
        <w:numPr>
          <w:ilvl w:val="0"/>
          <w:numId w:val="11"/>
        </w:numPr>
        <w:spacing w:after="0" w:line="240" w:lineRule="auto"/>
        <w:ind w:left="709" w:hanging="283"/>
        <w:jc w:val="both"/>
        <w:rPr>
          <w:lang w:val="en-US"/>
        </w:rPr>
      </w:pPr>
      <w:r w:rsidRPr="00A65AD0">
        <w:rPr>
          <w:lang w:val="en-US"/>
        </w:rPr>
        <w:t xml:space="preserve">green buildings (financing </w:t>
      </w:r>
      <w:r>
        <w:rPr>
          <w:lang w:val="en-US"/>
        </w:rPr>
        <w:t>for</w:t>
      </w:r>
      <w:r w:rsidRPr="00A65AD0">
        <w:rPr>
          <w:lang w:val="en-US"/>
        </w:rPr>
        <w:t xml:space="preserve"> construction of green buildings, related systems and </w:t>
      </w:r>
      <w:r>
        <w:rPr>
          <w:lang w:val="en-US"/>
        </w:rPr>
        <w:t>construction</w:t>
      </w:r>
      <w:r w:rsidRPr="00A65AD0">
        <w:rPr>
          <w:lang w:val="en-US"/>
        </w:rPr>
        <w:t xml:space="preserve"> materials, green infrastructure)</w:t>
      </w:r>
      <w:r w:rsidR="00F2456E" w:rsidRPr="00F8326F">
        <w:rPr>
          <w:lang w:val="en-US"/>
        </w:rPr>
        <w:t>;</w:t>
      </w:r>
    </w:p>
    <w:p w14:paraId="430FCBB9" w14:textId="18C32FFA" w:rsidR="00F2456E" w:rsidRPr="00F8326F" w:rsidRDefault="00F8326F" w:rsidP="00F2456E">
      <w:pPr>
        <w:pStyle w:val="a7"/>
        <w:numPr>
          <w:ilvl w:val="0"/>
          <w:numId w:val="11"/>
        </w:numPr>
        <w:spacing w:after="0" w:line="240" w:lineRule="auto"/>
        <w:ind w:left="709" w:hanging="283"/>
        <w:jc w:val="both"/>
        <w:rPr>
          <w:lang w:val="en-US"/>
        </w:rPr>
      </w:pPr>
      <w:r w:rsidRPr="00A65AD0">
        <w:rPr>
          <w:lang w:val="en-US"/>
        </w:rPr>
        <w:t>pollution prevention and control (f</w:t>
      </w:r>
      <w:r>
        <w:rPr>
          <w:lang w:val="en-US"/>
        </w:rPr>
        <w:t xml:space="preserve">inancing </w:t>
      </w:r>
      <w:r w:rsidRPr="00A65AD0">
        <w:rPr>
          <w:lang w:val="en-US"/>
        </w:rPr>
        <w:t xml:space="preserve">for projects </w:t>
      </w:r>
      <w:r>
        <w:rPr>
          <w:lang w:val="en-US"/>
        </w:rPr>
        <w:t>aimed at</w:t>
      </w:r>
      <w:r w:rsidRPr="00A65AD0">
        <w:rPr>
          <w:lang w:val="en-US"/>
        </w:rPr>
        <w:t xml:space="preserve"> improv</w:t>
      </w:r>
      <w:r>
        <w:rPr>
          <w:lang w:val="en-US"/>
        </w:rPr>
        <w:t>ing</w:t>
      </w:r>
      <w:r w:rsidRPr="00A65AD0">
        <w:rPr>
          <w:lang w:val="en-US"/>
        </w:rPr>
        <w:t xml:space="preserve"> air quality, soil quality)</w:t>
      </w:r>
      <w:r w:rsidR="00F2456E" w:rsidRPr="00F8326F">
        <w:rPr>
          <w:lang w:val="en-US"/>
        </w:rPr>
        <w:t>;</w:t>
      </w:r>
    </w:p>
    <w:p w14:paraId="5007447C" w14:textId="396AF596" w:rsidR="00F2456E" w:rsidRPr="00F8326F" w:rsidRDefault="00F8326F" w:rsidP="00F2456E">
      <w:pPr>
        <w:pStyle w:val="a7"/>
        <w:numPr>
          <w:ilvl w:val="0"/>
          <w:numId w:val="11"/>
        </w:numPr>
        <w:spacing w:after="0" w:line="240" w:lineRule="auto"/>
        <w:ind w:left="709" w:hanging="283"/>
        <w:jc w:val="both"/>
        <w:rPr>
          <w:lang w:val="en-US"/>
        </w:rPr>
      </w:pPr>
      <w:r w:rsidRPr="00A65AD0">
        <w:rPr>
          <w:lang w:val="en-US"/>
        </w:rPr>
        <w:t>sustainable use of water and waste</w:t>
      </w:r>
      <w:r>
        <w:rPr>
          <w:lang w:val="en-US"/>
        </w:rPr>
        <w:t>s</w:t>
      </w:r>
      <w:r w:rsidRPr="00A65AD0">
        <w:rPr>
          <w:lang w:val="en-US"/>
        </w:rPr>
        <w:t xml:space="preserve"> (provi</w:t>
      </w:r>
      <w:r>
        <w:rPr>
          <w:lang w:val="en-US"/>
        </w:rPr>
        <w:t>sion of</w:t>
      </w:r>
      <w:r w:rsidRPr="00A65AD0">
        <w:rPr>
          <w:lang w:val="en-US"/>
        </w:rPr>
        <w:t xml:space="preserve"> loan</w:t>
      </w:r>
      <w:r>
        <w:rPr>
          <w:lang w:val="en-US"/>
        </w:rPr>
        <w:t xml:space="preserve"> proceed</w:t>
      </w:r>
      <w:r w:rsidRPr="00A65AD0">
        <w:rPr>
          <w:lang w:val="en-US"/>
        </w:rPr>
        <w:t>s for sust</w:t>
      </w:r>
      <w:r>
        <w:rPr>
          <w:lang w:val="en-US"/>
        </w:rPr>
        <w:t>ainable use of water and water saving</w:t>
      </w:r>
      <w:r w:rsidRPr="00A65AD0">
        <w:rPr>
          <w:lang w:val="en-US"/>
        </w:rPr>
        <w:t>, waste and wastewater, resource conservation and recovery)</w:t>
      </w:r>
      <w:r w:rsidR="00F2456E" w:rsidRPr="00F8326F">
        <w:rPr>
          <w:lang w:val="en-US"/>
        </w:rPr>
        <w:t>;</w:t>
      </w:r>
    </w:p>
    <w:p w14:paraId="41DB1F70" w14:textId="2D9B47B8" w:rsidR="00F2456E" w:rsidRPr="00F8326F" w:rsidRDefault="00F8326F" w:rsidP="00F2456E">
      <w:pPr>
        <w:pStyle w:val="a7"/>
        <w:numPr>
          <w:ilvl w:val="0"/>
          <w:numId w:val="11"/>
        </w:numPr>
        <w:spacing w:after="0" w:line="240" w:lineRule="auto"/>
        <w:ind w:left="709" w:hanging="283"/>
        <w:jc w:val="both"/>
        <w:rPr>
          <w:lang w:val="en-US"/>
        </w:rPr>
      </w:pPr>
      <w:r w:rsidRPr="000D1E1D">
        <w:rPr>
          <w:lang w:val="en-US"/>
        </w:rPr>
        <w:t>sustainable agriculture, land use, forestry, biodiversity conservation and eco-tourism</w:t>
      </w:r>
      <w:r w:rsidR="00F2456E" w:rsidRPr="00F8326F">
        <w:rPr>
          <w:lang w:val="en-US"/>
        </w:rPr>
        <w:t>;</w:t>
      </w:r>
    </w:p>
    <w:p w14:paraId="0E51F617" w14:textId="47AC7C5A" w:rsidR="00F2456E" w:rsidRPr="00F8326F" w:rsidRDefault="00F8326F" w:rsidP="00F2456E">
      <w:pPr>
        <w:pStyle w:val="a7"/>
        <w:numPr>
          <w:ilvl w:val="0"/>
          <w:numId w:val="11"/>
        </w:numPr>
        <w:spacing w:after="0" w:line="240" w:lineRule="auto"/>
        <w:ind w:left="709" w:hanging="283"/>
        <w:jc w:val="both"/>
        <w:rPr>
          <w:lang w:val="en-US"/>
        </w:rPr>
      </w:pPr>
      <w:r>
        <w:rPr>
          <w:lang w:val="en-US"/>
        </w:rPr>
        <w:t>green</w:t>
      </w:r>
      <w:r w:rsidRPr="000D1E1D">
        <w:rPr>
          <w:lang w:val="en-US"/>
        </w:rPr>
        <w:t xml:space="preserve"> </w:t>
      </w:r>
      <w:r>
        <w:rPr>
          <w:lang w:val="en-US"/>
        </w:rPr>
        <w:t>transport</w:t>
      </w:r>
      <w:r w:rsidRPr="000D1E1D">
        <w:rPr>
          <w:lang w:val="en-US"/>
        </w:rPr>
        <w:t xml:space="preserve"> (f</w:t>
      </w:r>
      <w:r>
        <w:rPr>
          <w:lang w:val="en-US"/>
        </w:rPr>
        <w:t>inancing for the acquisition of green</w:t>
      </w:r>
      <w:r w:rsidRPr="000D1E1D">
        <w:rPr>
          <w:lang w:val="en-US"/>
        </w:rPr>
        <w:t xml:space="preserve"> transport, low-carbon vehicles, </w:t>
      </w:r>
      <w:r>
        <w:rPr>
          <w:lang w:val="en-US"/>
        </w:rPr>
        <w:t>green</w:t>
      </w:r>
      <w:r w:rsidRPr="000D1E1D">
        <w:rPr>
          <w:lang w:val="en-US"/>
        </w:rPr>
        <w:t xml:space="preserve"> transport information and communication technologies)</w:t>
      </w:r>
      <w:r w:rsidR="00F2456E" w:rsidRPr="00F8326F">
        <w:rPr>
          <w:lang w:val="en-US"/>
        </w:rPr>
        <w:t>;</w:t>
      </w:r>
    </w:p>
    <w:p w14:paraId="795A8121" w14:textId="608180AF" w:rsidR="00F2456E" w:rsidRPr="0060482D" w:rsidRDefault="0060482D" w:rsidP="00F2456E">
      <w:pPr>
        <w:pStyle w:val="a7"/>
        <w:numPr>
          <w:ilvl w:val="0"/>
          <w:numId w:val="11"/>
        </w:numPr>
        <w:spacing w:after="0" w:line="240" w:lineRule="auto"/>
        <w:ind w:left="709" w:hanging="283"/>
        <w:jc w:val="both"/>
        <w:rPr>
          <w:lang w:val="en-US"/>
        </w:rPr>
      </w:pPr>
      <w:r w:rsidRPr="000D1E1D">
        <w:rPr>
          <w:lang w:val="en-US"/>
        </w:rPr>
        <w:t>climate change mitigation (f</w:t>
      </w:r>
      <w:r>
        <w:rPr>
          <w:lang w:val="en-US"/>
        </w:rPr>
        <w:t>inancing f</w:t>
      </w:r>
      <w:r w:rsidRPr="000D1E1D">
        <w:rPr>
          <w:lang w:val="en-US"/>
        </w:rPr>
        <w:t xml:space="preserve">or projects aimed at reducing the greenhouse </w:t>
      </w:r>
      <w:r>
        <w:rPr>
          <w:lang w:val="en-US"/>
        </w:rPr>
        <w:t>gas emissions or re</w:t>
      </w:r>
      <w:r w:rsidRPr="000D1E1D">
        <w:rPr>
          <w:lang w:val="en-US"/>
        </w:rPr>
        <w:t>moving these gases from the atmosphere)</w:t>
      </w:r>
      <w:r w:rsidR="00F2456E" w:rsidRPr="0060482D">
        <w:rPr>
          <w:lang w:val="en-US"/>
        </w:rPr>
        <w:t>;</w:t>
      </w:r>
    </w:p>
    <w:p w14:paraId="2018D8B5" w14:textId="44D4E9F2" w:rsidR="00F2456E" w:rsidRPr="0060482D" w:rsidRDefault="0060482D" w:rsidP="00F2456E">
      <w:pPr>
        <w:pStyle w:val="a7"/>
        <w:numPr>
          <w:ilvl w:val="0"/>
          <w:numId w:val="11"/>
        </w:numPr>
        <w:spacing w:after="0" w:line="240" w:lineRule="auto"/>
        <w:ind w:left="709" w:hanging="283"/>
        <w:jc w:val="both"/>
        <w:rPr>
          <w:lang w:val="en-US"/>
        </w:rPr>
      </w:pPr>
      <w:r w:rsidRPr="000D1E1D">
        <w:rPr>
          <w:lang w:val="en-US"/>
        </w:rPr>
        <w:t xml:space="preserve">climate change adaptation (financing </w:t>
      </w:r>
      <w:r>
        <w:rPr>
          <w:lang w:val="en-US"/>
        </w:rPr>
        <w:t>for</w:t>
      </w:r>
      <w:r w:rsidRPr="000D1E1D">
        <w:rPr>
          <w:lang w:val="en-US"/>
        </w:rPr>
        <w:t xml:space="preserve"> projects aimed at reducing vulnerability to real or expected climate change, while not having </w:t>
      </w:r>
      <w:r>
        <w:rPr>
          <w:lang w:val="en-US"/>
        </w:rPr>
        <w:t xml:space="preserve">any </w:t>
      </w:r>
      <w:r w:rsidRPr="000D1E1D">
        <w:rPr>
          <w:lang w:val="en-US"/>
        </w:rPr>
        <w:t>negative environmental and/or social effects)</w:t>
      </w:r>
      <w:r w:rsidR="00F2456E" w:rsidRPr="0060482D">
        <w:rPr>
          <w:lang w:val="en-US"/>
        </w:rPr>
        <w:t>;</w:t>
      </w:r>
    </w:p>
    <w:p w14:paraId="743E6C32" w14:textId="31E6B303" w:rsidR="00F2456E" w:rsidRPr="0060482D" w:rsidRDefault="0060482D" w:rsidP="00F2456E">
      <w:pPr>
        <w:pStyle w:val="a7"/>
        <w:numPr>
          <w:ilvl w:val="0"/>
          <w:numId w:val="11"/>
        </w:numPr>
        <w:spacing w:after="0" w:line="240" w:lineRule="auto"/>
        <w:ind w:left="709" w:hanging="283"/>
        <w:jc w:val="both"/>
        <w:rPr>
          <w:lang w:val="en-US"/>
        </w:rPr>
      </w:pPr>
      <w:r w:rsidRPr="000D1E1D">
        <w:rPr>
          <w:lang w:val="en-US"/>
        </w:rPr>
        <w:t xml:space="preserve">transition to </w:t>
      </w:r>
      <w:r>
        <w:rPr>
          <w:lang w:val="en-US"/>
        </w:rPr>
        <w:t xml:space="preserve">a </w:t>
      </w:r>
      <w:r w:rsidRPr="000D1E1D">
        <w:rPr>
          <w:lang w:val="en-US"/>
        </w:rPr>
        <w:t xml:space="preserve">circular economy (financing </w:t>
      </w:r>
      <w:r>
        <w:rPr>
          <w:lang w:val="en-US"/>
        </w:rPr>
        <w:t>for</w:t>
      </w:r>
      <w:r w:rsidRPr="000D1E1D">
        <w:rPr>
          <w:lang w:val="en-US"/>
        </w:rPr>
        <w:t xml:space="preserve"> projects that provide for a circular waste management system and production from </w:t>
      </w:r>
      <w:r>
        <w:rPr>
          <w:lang w:val="en-US"/>
        </w:rPr>
        <w:t>recycled</w:t>
      </w:r>
      <w:r w:rsidRPr="000D1E1D">
        <w:rPr>
          <w:lang w:val="en-US"/>
        </w:rPr>
        <w:t xml:space="preserve"> materials)</w:t>
      </w:r>
      <w:r w:rsidR="00F2456E" w:rsidRPr="0060482D">
        <w:rPr>
          <w:lang w:val="en-US"/>
        </w:rPr>
        <w:t>.</w:t>
      </w:r>
    </w:p>
    <w:p w14:paraId="19C9AF34" w14:textId="3426C4B6" w:rsidR="00F2456E" w:rsidRPr="0060482D" w:rsidRDefault="0060482D" w:rsidP="0060482D">
      <w:pPr>
        <w:pStyle w:val="a7"/>
        <w:numPr>
          <w:ilvl w:val="0"/>
          <w:numId w:val="7"/>
        </w:numPr>
        <w:spacing w:after="0" w:line="240" w:lineRule="auto"/>
        <w:ind w:left="0" w:firstLine="0"/>
        <w:jc w:val="both"/>
        <w:rPr>
          <w:lang w:val="en-US"/>
        </w:rPr>
      </w:pPr>
      <w:r w:rsidRPr="000D1E1D">
        <w:rPr>
          <w:lang w:val="en-US"/>
        </w:rPr>
        <w:t xml:space="preserve">The </w:t>
      </w:r>
      <w:r>
        <w:rPr>
          <w:lang w:val="en-US"/>
        </w:rPr>
        <w:t xml:space="preserve">corporate borrower financing </w:t>
      </w:r>
      <w:r w:rsidRPr="000D1E1D">
        <w:rPr>
          <w:lang w:val="en-US"/>
        </w:rPr>
        <w:t xml:space="preserve">conditions under </w:t>
      </w:r>
      <w:r>
        <w:rPr>
          <w:lang w:val="en-US"/>
        </w:rPr>
        <w:t xml:space="preserve">the </w:t>
      </w:r>
      <w:r w:rsidRPr="000D1E1D">
        <w:rPr>
          <w:lang w:val="en-US"/>
        </w:rPr>
        <w:t xml:space="preserve">standard loan products may be supplemented with requirements to improve (relative to current values) environmental, social and/or </w:t>
      </w:r>
      <w:r>
        <w:rPr>
          <w:lang w:val="en-US"/>
        </w:rPr>
        <w:t>governance</w:t>
      </w:r>
      <w:r w:rsidRPr="000D1E1D">
        <w:rPr>
          <w:lang w:val="en-US"/>
        </w:rPr>
        <w:t xml:space="preserve"> non-financial parameters, targeted financing requirements or requirements to achieve sustainab</w:t>
      </w:r>
      <w:r>
        <w:rPr>
          <w:lang w:val="en-US"/>
        </w:rPr>
        <w:t>ility i</w:t>
      </w:r>
      <w:r w:rsidRPr="000D1E1D">
        <w:rPr>
          <w:lang w:val="en-US"/>
        </w:rPr>
        <w:t xml:space="preserve">ndicators. These conditions </w:t>
      </w:r>
      <w:r>
        <w:rPr>
          <w:lang w:val="en-US"/>
        </w:rPr>
        <w:t>shall be incorporated in the F</w:t>
      </w:r>
      <w:r w:rsidRPr="000D1E1D">
        <w:rPr>
          <w:lang w:val="en-US"/>
        </w:rPr>
        <w:t xml:space="preserve">inancing </w:t>
      </w:r>
      <w:r>
        <w:rPr>
          <w:lang w:val="en-US"/>
        </w:rPr>
        <w:t>A</w:t>
      </w:r>
      <w:r w:rsidRPr="000D1E1D">
        <w:rPr>
          <w:lang w:val="en-US"/>
        </w:rPr>
        <w:t>greement in the form of a penalty or v</w:t>
      </w:r>
      <w:r>
        <w:rPr>
          <w:lang w:val="en-US"/>
        </w:rPr>
        <w:t>ariable interest rate parameter</w:t>
      </w:r>
      <w:r w:rsidR="00F2456E" w:rsidRPr="0060482D">
        <w:rPr>
          <w:lang w:val="en-US"/>
        </w:rPr>
        <w:t>.</w:t>
      </w:r>
    </w:p>
    <w:p w14:paraId="69532D3D" w14:textId="070E101F" w:rsidR="00F2456E" w:rsidRPr="0060482D" w:rsidRDefault="0060482D" w:rsidP="00F2456E">
      <w:pPr>
        <w:pStyle w:val="1"/>
        <w:rPr>
          <w:lang w:val="en-US"/>
        </w:rPr>
      </w:pPr>
      <w:bookmarkStart w:id="32" w:name="_Hlk190075737"/>
      <w:bookmarkStart w:id="33" w:name="_Toc199501412"/>
      <w:r>
        <w:rPr>
          <w:lang w:val="en-US"/>
        </w:rPr>
        <w:t>Chapter</w:t>
      </w:r>
      <w:r w:rsidRPr="006E7E9D">
        <w:rPr>
          <w:lang w:val="en-US"/>
        </w:rPr>
        <w:t xml:space="preserve"> </w:t>
      </w:r>
      <w:r w:rsidR="0005144C">
        <w:rPr>
          <w:lang w:val="en-US"/>
        </w:rPr>
        <w:t>6</w:t>
      </w:r>
      <w:r w:rsidRPr="006E7E9D">
        <w:rPr>
          <w:lang w:val="en-US"/>
        </w:rPr>
        <w:t xml:space="preserve">. </w:t>
      </w:r>
      <w:r>
        <w:rPr>
          <w:lang w:val="en-US"/>
        </w:rPr>
        <w:t>Management</w:t>
      </w:r>
      <w:r w:rsidRPr="006E7E9D">
        <w:rPr>
          <w:lang w:val="en-US"/>
        </w:rPr>
        <w:t xml:space="preserve"> </w:t>
      </w:r>
      <w:r>
        <w:rPr>
          <w:lang w:val="en-US"/>
        </w:rPr>
        <w:t>Reporting</w:t>
      </w:r>
      <w:r w:rsidRPr="006E7E9D">
        <w:rPr>
          <w:lang w:val="en-US"/>
        </w:rPr>
        <w:t xml:space="preserve"> </w:t>
      </w:r>
      <w:r>
        <w:rPr>
          <w:lang w:val="en-US"/>
        </w:rPr>
        <w:t>on</w:t>
      </w:r>
      <w:r w:rsidRPr="006E7E9D">
        <w:rPr>
          <w:lang w:val="en-US"/>
        </w:rPr>
        <w:t xml:space="preserve"> </w:t>
      </w:r>
      <w:r>
        <w:rPr>
          <w:lang w:val="en-US"/>
        </w:rPr>
        <w:t>Sustainable Financ</w:t>
      </w:r>
      <w:r w:rsidR="004A51C5">
        <w:rPr>
          <w:lang w:val="en-US"/>
        </w:rPr>
        <w:t>ing</w:t>
      </w:r>
      <w:bookmarkEnd w:id="33"/>
    </w:p>
    <w:p w14:paraId="36FB64B6" w14:textId="1AC1D165" w:rsidR="00F2456E" w:rsidRPr="008303D7" w:rsidRDefault="000234B8" w:rsidP="00F2456E">
      <w:pPr>
        <w:pStyle w:val="a7"/>
        <w:numPr>
          <w:ilvl w:val="0"/>
          <w:numId w:val="7"/>
        </w:numPr>
        <w:spacing w:after="0" w:line="240" w:lineRule="auto"/>
        <w:ind w:left="0" w:firstLine="0"/>
        <w:jc w:val="both"/>
        <w:rPr>
          <w:lang w:val="en-US"/>
        </w:rPr>
      </w:pPr>
      <w:r>
        <w:rPr>
          <w:lang w:val="en-US"/>
        </w:rPr>
        <w:t>T</w:t>
      </w:r>
      <w:r w:rsidR="008303D7" w:rsidRPr="000D1E1D">
        <w:rPr>
          <w:lang w:val="en-US"/>
        </w:rPr>
        <w:t>o assess the Bank</w:t>
      </w:r>
      <w:r w:rsidR="004A51C5">
        <w:rPr>
          <w:lang w:val="en-US"/>
        </w:rPr>
        <w:t>’</w:t>
      </w:r>
      <w:r w:rsidR="008303D7" w:rsidRPr="000D1E1D">
        <w:rPr>
          <w:lang w:val="en-US"/>
        </w:rPr>
        <w:t xml:space="preserve">s activities and progress </w:t>
      </w:r>
      <w:r w:rsidR="008303D7">
        <w:rPr>
          <w:lang w:val="en-US"/>
        </w:rPr>
        <w:t>achieved</w:t>
      </w:r>
      <w:r w:rsidR="008303D7" w:rsidRPr="000D1E1D">
        <w:rPr>
          <w:lang w:val="en-US"/>
        </w:rPr>
        <w:t xml:space="preserve"> in implementing the </w:t>
      </w:r>
      <w:r w:rsidR="004A51C5">
        <w:rPr>
          <w:lang w:val="en-US"/>
        </w:rPr>
        <w:t>sustainable</w:t>
      </w:r>
      <w:r w:rsidR="008303D7" w:rsidRPr="000D1E1D">
        <w:rPr>
          <w:lang w:val="en-US"/>
        </w:rPr>
        <w:t xml:space="preserve"> </w:t>
      </w:r>
      <w:r w:rsidR="008303D7">
        <w:rPr>
          <w:lang w:val="en-US"/>
        </w:rPr>
        <w:t>financ</w:t>
      </w:r>
      <w:r w:rsidR="004A51C5">
        <w:rPr>
          <w:lang w:val="en-US"/>
        </w:rPr>
        <w:t>e</w:t>
      </w:r>
      <w:r w:rsidR="008303D7" w:rsidRPr="000D1E1D">
        <w:rPr>
          <w:lang w:val="en-US"/>
        </w:rPr>
        <w:t xml:space="preserve"> principles, the Bank </w:t>
      </w:r>
      <w:r w:rsidR="008303D7">
        <w:rPr>
          <w:lang w:val="en-US"/>
        </w:rPr>
        <w:t>shall</w:t>
      </w:r>
      <w:r w:rsidR="008303D7" w:rsidRPr="000D1E1D">
        <w:rPr>
          <w:lang w:val="en-US"/>
        </w:rPr>
        <w:t xml:space="preserve"> control and monitor its loan portfolio and prepare management reports </w:t>
      </w:r>
      <w:r w:rsidR="0005144C">
        <w:rPr>
          <w:lang w:val="en-US"/>
        </w:rPr>
        <w:t>that provide for the results of asset classification by E&amp;S risk ratings</w:t>
      </w:r>
      <w:r w:rsidR="00F2456E" w:rsidRPr="008303D7">
        <w:rPr>
          <w:rFonts w:cs="Times New Roman"/>
          <w:color w:val="000000" w:themeColor="text1"/>
          <w:szCs w:val="24"/>
          <w:lang w:val="en-US"/>
        </w:rPr>
        <w:t>.</w:t>
      </w:r>
    </w:p>
    <w:p w14:paraId="65537501" w14:textId="231A878D" w:rsidR="00F2456E" w:rsidRPr="0005144C" w:rsidRDefault="0005144C" w:rsidP="00F2456E">
      <w:pPr>
        <w:pStyle w:val="a7"/>
        <w:numPr>
          <w:ilvl w:val="0"/>
          <w:numId w:val="7"/>
        </w:numPr>
        <w:spacing w:after="0" w:line="240" w:lineRule="auto"/>
        <w:ind w:left="0" w:firstLine="0"/>
        <w:jc w:val="both"/>
        <w:rPr>
          <w:lang w:val="en-US"/>
        </w:rPr>
      </w:pPr>
      <w:r w:rsidRPr="005A228F">
        <w:rPr>
          <w:lang w:val="en-US"/>
        </w:rPr>
        <w:t xml:space="preserve">The list of indicators </w:t>
      </w:r>
      <w:r>
        <w:rPr>
          <w:lang w:val="en-US"/>
        </w:rPr>
        <w:t>included in the</w:t>
      </w:r>
      <w:r w:rsidRPr="005A228F">
        <w:rPr>
          <w:lang w:val="en-US"/>
        </w:rPr>
        <w:t xml:space="preserve"> management reporting on </w:t>
      </w:r>
      <w:r>
        <w:rPr>
          <w:lang w:val="en-US"/>
        </w:rPr>
        <w:t>sustainable</w:t>
      </w:r>
      <w:r w:rsidRPr="005A228F">
        <w:rPr>
          <w:lang w:val="en-US"/>
        </w:rPr>
        <w:t xml:space="preserve"> financ</w:t>
      </w:r>
      <w:r>
        <w:rPr>
          <w:lang w:val="en-US"/>
        </w:rPr>
        <w:t>e</w:t>
      </w:r>
      <w:r w:rsidRPr="005A228F">
        <w:rPr>
          <w:lang w:val="en-US"/>
        </w:rPr>
        <w:t xml:space="preserve"> </w:t>
      </w:r>
      <w:r>
        <w:rPr>
          <w:lang w:val="en-US"/>
        </w:rPr>
        <w:t>shall provide</w:t>
      </w:r>
      <w:r w:rsidRPr="005A228F">
        <w:rPr>
          <w:lang w:val="en-US"/>
        </w:rPr>
        <w:t xml:space="preserve"> for disclosure of information in accordance with the Agency</w:t>
      </w:r>
      <w:r>
        <w:rPr>
          <w:lang w:val="en-US"/>
        </w:rPr>
        <w:t>’</w:t>
      </w:r>
      <w:r w:rsidRPr="005A228F">
        <w:rPr>
          <w:lang w:val="en-US"/>
        </w:rPr>
        <w:t>s requirements</w:t>
      </w:r>
      <w:r>
        <w:rPr>
          <w:lang w:val="en-US"/>
        </w:rPr>
        <w:t xml:space="preserve"> as</w:t>
      </w:r>
      <w:r w:rsidRPr="005A228F">
        <w:rPr>
          <w:lang w:val="en-US"/>
        </w:rPr>
        <w:t xml:space="preserve"> </w:t>
      </w:r>
      <w:r>
        <w:rPr>
          <w:lang w:val="en-US"/>
        </w:rPr>
        <w:t>set out</w:t>
      </w:r>
      <w:r w:rsidRPr="005A228F">
        <w:rPr>
          <w:lang w:val="en-US"/>
        </w:rPr>
        <w:t xml:space="preserve"> in the Environmental, Social and Governance (ESG) Disclosure Guidelines for Banks and Other Financial </w:t>
      </w:r>
      <w:r>
        <w:rPr>
          <w:lang w:val="en-US"/>
        </w:rPr>
        <w:t>Institutions</w:t>
      </w:r>
      <w:r w:rsidRPr="005A228F">
        <w:rPr>
          <w:lang w:val="en-US"/>
        </w:rPr>
        <w:t xml:space="preserve">, </w:t>
      </w:r>
      <w:r>
        <w:rPr>
          <w:lang w:val="en-US"/>
        </w:rPr>
        <w:t xml:space="preserve">and subject to the </w:t>
      </w:r>
      <w:r w:rsidRPr="005A228F">
        <w:rPr>
          <w:lang w:val="en-US"/>
        </w:rPr>
        <w:t xml:space="preserve">international non-financial </w:t>
      </w:r>
      <w:r>
        <w:rPr>
          <w:lang w:val="en-US"/>
        </w:rPr>
        <w:t>reporting</w:t>
      </w:r>
      <w:r w:rsidRPr="005A228F">
        <w:rPr>
          <w:lang w:val="en-US"/>
        </w:rPr>
        <w:t xml:space="preserve"> standards (G</w:t>
      </w:r>
      <w:r>
        <w:rPr>
          <w:lang w:val="en-US"/>
        </w:rPr>
        <w:t xml:space="preserve">lobal </w:t>
      </w:r>
      <w:r w:rsidRPr="005A228F">
        <w:rPr>
          <w:lang w:val="en-US"/>
        </w:rPr>
        <w:t>R</w:t>
      </w:r>
      <w:r>
        <w:rPr>
          <w:lang w:val="en-US"/>
        </w:rPr>
        <w:t xml:space="preserve">eporting </w:t>
      </w:r>
      <w:r w:rsidRPr="005A228F">
        <w:rPr>
          <w:lang w:val="en-US"/>
        </w:rPr>
        <w:t>I</w:t>
      </w:r>
      <w:r>
        <w:rPr>
          <w:lang w:val="en-US"/>
        </w:rPr>
        <w:t>nitiative</w:t>
      </w:r>
      <w:r w:rsidRPr="005A228F">
        <w:rPr>
          <w:lang w:val="en-US"/>
        </w:rPr>
        <w:t>)</w:t>
      </w:r>
      <w:r>
        <w:rPr>
          <w:lang w:val="en-US"/>
        </w:rPr>
        <w:t xml:space="preserve"> as</w:t>
      </w:r>
      <w:r w:rsidRPr="005A228F">
        <w:rPr>
          <w:lang w:val="en-US"/>
        </w:rPr>
        <w:t xml:space="preserve"> approved by the Order of the Agency Chairman No. 291 dated 28.04.2023</w:t>
      </w:r>
      <w:r w:rsidR="00F2456E" w:rsidRPr="0005144C">
        <w:rPr>
          <w:lang w:val="en-US"/>
        </w:rPr>
        <w:t>.</w:t>
      </w:r>
    </w:p>
    <w:bookmarkEnd w:id="32"/>
    <w:p w14:paraId="4DBC8DDD" w14:textId="73782C87" w:rsidR="00F2456E" w:rsidRPr="0005144C" w:rsidRDefault="0005144C" w:rsidP="00F2456E">
      <w:pPr>
        <w:pStyle w:val="a7"/>
        <w:numPr>
          <w:ilvl w:val="0"/>
          <w:numId w:val="7"/>
        </w:numPr>
        <w:spacing w:after="0" w:line="240" w:lineRule="auto"/>
        <w:ind w:left="0" w:firstLine="0"/>
        <w:jc w:val="both"/>
        <w:rPr>
          <w:lang w:val="en-US"/>
        </w:rPr>
      </w:pPr>
      <w:r w:rsidRPr="005A228F">
        <w:rPr>
          <w:lang w:val="en-US"/>
        </w:rPr>
        <w:t>The Sustainable Development Committee</w:t>
      </w:r>
      <w:r>
        <w:rPr>
          <w:lang w:val="en-US"/>
        </w:rPr>
        <w:t xml:space="preserve"> shall</w:t>
      </w:r>
      <w:r w:rsidRPr="005A228F">
        <w:rPr>
          <w:lang w:val="en-US"/>
        </w:rPr>
        <w:t xml:space="preserve"> determine</w:t>
      </w:r>
      <w:r w:rsidR="00F2456E" w:rsidRPr="0005144C">
        <w:rPr>
          <w:lang w:val="en-US"/>
        </w:rPr>
        <w:t>:</w:t>
      </w:r>
    </w:p>
    <w:p w14:paraId="559B43B5" w14:textId="5FE67995" w:rsidR="00F2456E" w:rsidRPr="00FE6633" w:rsidRDefault="0005144C" w:rsidP="00F2456E">
      <w:pPr>
        <w:pStyle w:val="a7"/>
        <w:numPr>
          <w:ilvl w:val="0"/>
          <w:numId w:val="8"/>
        </w:numPr>
        <w:spacing w:after="0" w:line="240" w:lineRule="auto"/>
        <w:ind w:left="709" w:hanging="283"/>
        <w:jc w:val="both"/>
        <w:rPr>
          <w:lang w:val="kk-KZ"/>
        </w:rPr>
      </w:pPr>
      <w:r w:rsidRPr="005A228F">
        <w:rPr>
          <w:lang w:val="en-US"/>
        </w:rPr>
        <w:t xml:space="preserve">the list of indicators </w:t>
      </w:r>
      <w:r>
        <w:rPr>
          <w:lang w:val="en-US"/>
        </w:rPr>
        <w:t>included in the</w:t>
      </w:r>
      <w:r w:rsidRPr="005A228F">
        <w:rPr>
          <w:lang w:val="en-US"/>
        </w:rPr>
        <w:t xml:space="preserve"> management reporting on </w:t>
      </w:r>
      <w:r>
        <w:rPr>
          <w:lang w:val="en-US"/>
        </w:rPr>
        <w:t>sustainable</w:t>
      </w:r>
      <w:r w:rsidRPr="005A228F">
        <w:rPr>
          <w:lang w:val="en-US"/>
        </w:rPr>
        <w:t xml:space="preserve"> financing, t</w:t>
      </w:r>
      <w:r>
        <w:rPr>
          <w:lang w:val="en-US"/>
        </w:rPr>
        <w:t>he format and frequency of their</w:t>
      </w:r>
      <w:r w:rsidRPr="005A228F">
        <w:rPr>
          <w:lang w:val="en-US"/>
        </w:rPr>
        <w:t xml:space="preserve"> submission to the Board of Directors, </w:t>
      </w:r>
      <w:r>
        <w:rPr>
          <w:lang w:val="en-US"/>
        </w:rPr>
        <w:t>subject to</w:t>
      </w:r>
      <w:r w:rsidRPr="005A228F">
        <w:rPr>
          <w:lang w:val="en-US"/>
        </w:rPr>
        <w:t xml:space="preserve"> the </w:t>
      </w:r>
      <w:r>
        <w:rPr>
          <w:lang w:val="en-US"/>
        </w:rPr>
        <w:t>sustainable</w:t>
      </w:r>
      <w:r w:rsidRPr="005A228F">
        <w:rPr>
          <w:lang w:val="en-US"/>
        </w:rPr>
        <w:t xml:space="preserve"> financ</w:t>
      </w:r>
      <w:r>
        <w:rPr>
          <w:lang w:val="en-US"/>
        </w:rPr>
        <w:t>e</w:t>
      </w:r>
      <w:r w:rsidRPr="005A228F">
        <w:rPr>
          <w:lang w:val="en-US"/>
        </w:rPr>
        <w:t xml:space="preserve"> practice</w:t>
      </w:r>
      <w:r>
        <w:rPr>
          <w:lang w:val="en-US"/>
        </w:rPr>
        <w:t xml:space="preserve"> implementation stage</w:t>
      </w:r>
      <w:r w:rsidRPr="005A228F">
        <w:rPr>
          <w:lang w:val="en-US"/>
        </w:rPr>
        <w:t xml:space="preserve"> in the Bank</w:t>
      </w:r>
      <w:r w:rsidR="00F2456E" w:rsidRPr="00E94F9F">
        <w:rPr>
          <w:lang w:val="kk-KZ"/>
        </w:rPr>
        <w:t>;</w:t>
      </w:r>
    </w:p>
    <w:p w14:paraId="40814A39" w14:textId="65B3FE12" w:rsidR="00F2456E" w:rsidRPr="00FE6633" w:rsidRDefault="0005144C" w:rsidP="00F2456E">
      <w:pPr>
        <w:pStyle w:val="a7"/>
        <w:numPr>
          <w:ilvl w:val="0"/>
          <w:numId w:val="8"/>
        </w:numPr>
        <w:spacing w:after="0" w:line="240" w:lineRule="auto"/>
        <w:ind w:left="709" w:hanging="283"/>
        <w:jc w:val="both"/>
        <w:rPr>
          <w:lang w:val="kk-KZ"/>
        </w:rPr>
      </w:pPr>
      <w:r w:rsidRPr="0005144C">
        <w:rPr>
          <w:lang w:val="kk-KZ"/>
        </w:rPr>
        <w:t>the Bank subdivisions responsible for provision of information to prepare the management reporting</w:t>
      </w:r>
      <w:r w:rsidR="00F2456E" w:rsidRPr="00FE6633">
        <w:rPr>
          <w:lang w:val="kk-KZ"/>
        </w:rPr>
        <w:t>.</w:t>
      </w:r>
    </w:p>
    <w:p w14:paraId="3B0953E2" w14:textId="5AA6D3F0" w:rsidR="00F2456E" w:rsidRPr="0005144C" w:rsidRDefault="0005144C" w:rsidP="00F2456E">
      <w:pPr>
        <w:pStyle w:val="a7"/>
        <w:numPr>
          <w:ilvl w:val="0"/>
          <w:numId w:val="7"/>
        </w:numPr>
        <w:spacing w:after="0" w:line="240" w:lineRule="auto"/>
        <w:ind w:left="0" w:firstLine="0"/>
        <w:jc w:val="both"/>
        <w:rPr>
          <w:lang w:val="kk-KZ"/>
        </w:rPr>
      </w:pPr>
      <w:r w:rsidRPr="0005144C">
        <w:rPr>
          <w:lang w:val="kk-KZ"/>
        </w:rPr>
        <w:t>The Bank’s subdivision in charge of sustainable development shall summarize indicators of the management reporting on sustainable financing to be further submitted to the Sustainable Development Committee and the Board of Directors</w:t>
      </w:r>
      <w:r w:rsidR="00F2456E" w:rsidRPr="0005144C">
        <w:rPr>
          <w:lang w:val="kk-KZ"/>
        </w:rPr>
        <w:t>.</w:t>
      </w:r>
    </w:p>
    <w:p w14:paraId="6FE3E382" w14:textId="7C318F3D" w:rsidR="00F2456E" w:rsidRPr="0005144C" w:rsidRDefault="0005144C" w:rsidP="00F2456E">
      <w:pPr>
        <w:pStyle w:val="a7"/>
        <w:numPr>
          <w:ilvl w:val="0"/>
          <w:numId w:val="7"/>
        </w:numPr>
        <w:spacing w:after="0" w:line="240" w:lineRule="auto"/>
        <w:ind w:left="0" w:firstLine="0"/>
        <w:jc w:val="both"/>
        <w:rPr>
          <w:lang w:val="kk-KZ"/>
        </w:rPr>
      </w:pPr>
      <w:r w:rsidRPr="0005144C">
        <w:rPr>
          <w:lang w:val="kk-KZ"/>
        </w:rPr>
        <w:t>The Board of Directors and the Sustainable Development Committee shall review the management reporting on sustainable financing and, based on the review results, may take decisions related to ensuring improved efficiency of implementation of the responsible financing principles</w:t>
      </w:r>
      <w:r w:rsidR="00F2456E" w:rsidRPr="0005144C">
        <w:rPr>
          <w:lang w:val="kk-KZ"/>
        </w:rPr>
        <w:t>.</w:t>
      </w:r>
    </w:p>
    <w:p w14:paraId="149BED56" w14:textId="5C90CE0E" w:rsidR="00F2456E" w:rsidRPr="007F5C04" w:rsidRDefault="00E75625" w:rsidP="00F2456E">
      <w:pPr>
        <w:pStyle w:val="1"/>
      </w:pPr>
      <w:bookmarkStart w:id="34" w:name="_Toc136446387"/>
      <w:bookmarkStart w:id="35" w:name="_Toc139019046"/>
      <w:bookmarkStart w:id="36" w:name="_Toc139290507"/>
      <w:bookmarkStart w:id="37" w:name="_Toc139473423"/>
      <w:bookmarkStart w:id="38" w:name="_Toc199501413"/>
      <w:r>
        <w:rPr>
          <w:lang w:val="en-US"/>
        </w:rPr>
        <w:lastRenderedPageBreak/>
        <w:t>Chapter</w:t>
      </w:r>
      <w:r w:rsidR="00F2456E">
        <w:t xml:space="preserve"> 7</w:t>
      </w:r>
      <w:r w:rsidR="00F2456E" w:rsidRPr="007F5C04">
        <w:t xml:space="preserve">. </w:t>
      </w:r>
      <w:r>
        <w:rPr>
          <w:lang w:val="en-US"/>
        </w:rPr>
        <w:t>Final Provisions</w:t>
      </w:r>
      <w:bookmarkEnd w:id="34"/>
      <w:bookmarkEnd w:id="35"/>
      <w:bookmarkEnd w:id="36"/>
      <w:bookmarkEnd w:id="37"/>
      <w:bookmarkEnd w:id="38"/>
    </w:p>
    <w:p w14:paraId="3CECC081" w14:textId="7106AC10" w:rsidR="00F2456E" w:rsidRPr="00E75625" w:rsidRDefault="00E75625" w:rsidP="00F2456E">
      <w:pPr>
        <w:pStyle w:val="a7"/>
        <w:numPr>
          <w:ilvl w:val="0"/>
          <w:numId w:val="7"/>
        </w:numPr>
        <w:spacing w:after="0" w:line="240" w:lineRule="auto"/>
        <w:ind w:left="0" w:firstLine="0"/>
        <w:jc w:val="both"/>
        <w:rPr>
          <w:lang w:val="en-US"/>
        </w:rPr>
      </w:pPr>
      <w:r w:rsidRPr="00A51E68">
        <w:rPr>
          <w:lang w:val="en-US"/>
        </w:rPr>
        <w:t>The</w:t>
      </w:r>
      <w:r w:rsidRPr="00E75625">
        <w:rPr>
          <w:lang w:val="en-US"/>
        </w:rPr>
        <w:t xml:space="preserve"> </w:t>
      </w:r>
      <w:r w:rsidRPr="00A51E68">
        <w:rPr>
          <w:lang w:val="en-US"/>
        </w:rPr>
        <w:t>provisions</w:t>
      </w:r>
      <w:r w:rsidRPr="00E75625">
        <w:rPr>
          <w:lang w:val="en-US"/>
        </w:rPr>
        <w:t xml:space="preserve"> </w:t>
      </w:r>
      <w:r w:rsidRPr="00A51E68">
        <w:rPr>
          <w:lang w:val="en-US"/>
        </w:rPr>
        <w:t>of</w:t>
      </w:r>
      <w:r w:rsidRPr="00E75625">
        <w:rPr>
          <w:lang w:val="en-US"/>
        </w:rPr>
        <w:t xml:space="preserve"> </w:t>
      </w:r>
      <w:r w:rsidRPr="00A51E68">
        <w:rPr>
          <w:lang w:val="en-US"/>
        </w:rPr>
        <w:t>this</w:t>
      </w:r>
      <w:r w:rsidRPr="00E75625">
        <w:rPr>
          <w:lang w:val="en-US"/>
        </w:rPr>
        <w:t xml:space="preserve"> </w:t>
      </w:r>
      <w:r w:rsidRPr="00A51E68">
        <w:rPr>
          <w:lang w:val="en-US"/>
        </w:rPr>
        <w:t>Policy</w:t>
      </w:r>
      <w:r w:rsidRPr="00E75625">
        <w:rPr>
          <w:lang w:val="en-US"/>
        </w:rPr>
        <w:t xml:space="preserve"> </w:t>
      </w:r>
      <w:r w:rsidRPr="00A51E68">
        <w:rPr>
          <w:lang w:val="en-US"/>
        </w:rPr>
        <w:t>may</w:t>
      </w:r>
      <w:r w:rsidRPr="00E75625">
        <w:rPr>
          <w:lang w:val="en-US"/>
        </w:rPr>
        <w:t xml:space="preserve"> </w:t>
      </w:r>
      <w:r w:rsidRPr="00A51E68">
        <w:rPr>
          <w:lang w:val="en-US"/>
        </w:rPr>
        <w:t>be</w:t>
      </w:r>
      <w:r w:rsidRPr="00E75625">
        <w:rPr>
          <w:lang w:val="en-US"/>
        </w:rPr>
        <w:t xml:space="preserve"> </w:t>
      </w:r>
      <w:r>
        <w:rPr>
          <w:lang w:val="en-US"/>
        </w:rPr>
        <w:t>set</w:t>
      </w:r>
      <w:r w:rsidRPr="00E75625">
        <w:rPr>
          <w:lang w:val="en-US"/>
        </w:rPr>
        <w:t xml:space="preserve"> </w:t>
      </w:r>
      <w:r>
        <w:rPr>
          <w:lang w:val="en-US"/>
        </w:rPr>
        <w:t>out</w:t>
      </w:r>
      <w:r w:rsidRPr="00E75625">
        <w:rPr>
          <w:lang w:val="en-US"/>
        </w:rPr>
        <w:t xml:space="preserve"> </w:t>
      </w:r>
      <w:r>
        <w:rPr>
          <w:lang w:val="en-US"/>
        </w:rPr>
        <w:t>in</w:t>
      </w:r>
      <w:r w:rsidRPr="00E75625">
        <w:rPr>
          <w:lang w:val="en-US"/>
        </w:rPr>
        <w:t xml:space="preserve"> </w:t>
      </w:r>
      <w:r w:rsidRPr="00A51E68">
        <w:rPr>
          <w:lang w:val="en-US"/>
        </w:rPr>
        <w:t>detail</w:t>
      </w:r>
      <w:r>
        <w:rPr>
          <w:lang w:val="en-US"/>
        </w:rPr>
        <w:t>s</w:t>
      </w:r>
      <w:r w:rsidRPr="00E75625">
        <w:rPr>
          <w:lang w:val="en-US"/>
        </w:rPr>
        <w:t xml:space="preserve"> </w:t>
      </w:r>
      <w:r w:rsidRPr="00A51E68">
        <w:rPr>
          <w:lang w:val="en-US"/>
        </w:rPr>
        <w:t>in</w:t>
      </w:r>
      <w:r w:rsidRPr="00E75625">
        <w:rPr>
          <w:lang w:val="en-US"/>
        </w:rPr>
        <w:t xml:space="preserve"> </w:t>
      </w:r>
      <w:r w:rsidRPr="00A51E68">
        <w:rPr>
          <w:lang w:val="en-US"/>
        </w:rPr>
        <w:t>the</w:t>
      </w:r>
      <w:r w:rsidRPr="00E75625">
        <w:rPr>
          <w:lang w:val="en-US"/>
        </w:rPr>
        <w:t xml:space="preserve"> </w:t>
      </w:r>
      <w:r w:rsidRPr="00A51E68">
        <w:rPr>
          <w:lang w:val="en-US"/>
        </w:rPr>
        <w:t>Bank</w:t>
      </w:r>
      <w:r w:rsidRPr="00E75625">
        <w:rPr>
          <w:lang w:val="en-US"/>
        </w:rPr>
        <w:t>’</w:t>
      </w:r>
      <w:r w:rsidRPr="00A51E68">
        <w:rPr>
          <w:lang w:val="en-US"/>
        </w:rPr>
        <w:t>s</w:t>
      </w:r>
      <w:r w:rsidRPr="00E75625">
        <w:rPr>
          <w:lang w:val="en-US"/>
        </w:rPr>
        <w:t xml:space="preserve"> </w:t>
      </w:r>
      <w:r w:rsidRPr="00A51E68">
        <w:rPr>
          <w:lang w:val="en-US"/>
        </w:rPr>
        <w:t>internal</w:t>
      </w:r>
      <w:r w:rsidRPr="00E75625">
        <w:rPr>
          <w:lang w:val="en-US"/>
        </w:rPr>
        <w:t xml:space="preserve"> </w:t>
      </w:r>
      <w:r w:rsidRPr="00A51E68">
        <w:rPr>
          <w:lang w:val="en-US"/>
        </w:rPr>
        <w:t>regulatory</w:t>
      </w:r>
      <w:r w:rsidRPr="00E75625">
        <w:rPr>
          <w:lang w:val="en-US"/>
        </w:rPr>
        <w:t xml:space="preserve"> </w:t>
      </w:r>
      <w:r w:rsidRPr="00A51E68">
        <w:rPr>
          <w:lang w:val="en-US"/>
        </w:rPr>
        <w:t>documents</w:t>
      </w:r>
      <w:r w:rsidRPr="00E75625">
        <w:rPr>
          <w:lang w:val="en-US"/>
        </w:rPr>
        <w:t xml:space="preserve">, </w:t>
      </w:r>
      <w:r>
        <w:rPr>
          <w:lang w:val="en-US"/>
        </w:rPr>
        <w:t>subject</w:t>
      </w:r>
      <w:r w:rsidRPr="00E75625">
        <w:rPr>
          <w:lang w:val="en-US"/>
        </w:rPr>
        <w:t xml:space="preserve"> </w:t>
      </w:r>
      <w:r>
        <w:rPr>
          <w:lang w:val="en-US"/>
        </w:rPr>
        <w:t>to</w:t>
      </w:r>
      <w:r w:rsidRPr="00E75625">
        <w:rPr>
          <w:lang w:val="en-US"/>
        </w:rPr>
        <w:t xml:space="preserve"> </w:t>
      </w:r>
      <w:r>
        <w:rPr>
          <w:lang w:val="en-US"/>
        </w:rPr>
        <w:t>the</w:t>
      </w:r>
      <w:r w:rsidRPr="00E75625">
        <w:rPr>
          <w:lang w:val="en-US"/>
        </w:rPr>
        <w:t xml:space="preserve"> </w:t>
      </w:r>
      <w:r w:rsidRPr="00A51E68">
        <w:rPr>
          <w:lang w:val="en-US"/>
        </w:rPr>
        <w:t>scope</w:t>
      </w:r>
      <w:r w:rsidRPr="00E75625">
        <w:rPr>
          <w:lang w:val="en-US"/>
        </w:rPr>
        <w:t xml:space="preserve"> </w:t>
      </w:r>
      <w:r w:rsidRPr="00A51E68">
        <w:rPr>
          <w:lang w:val="en-US"/>
        </w:rPr>
        <w:t>of</w:t>
      </w:r>
      <w:r w:rsidRPr="00E75625">
        <w:rPr>
          <w:lang w:val="en-US"/>
        </w:rPr>
        <w:t xml:space="preserve"> </w:t>
      </w:r>
      <w:r w:rsidRPr="00A51E68">
        <w:rPr>
          <w:lang w:val="en-US"/>
        </w:rPr>
        <w:t>activities</w:t>
      </w:r>
      <w:r w:rsidRPr="00E75625">
        <w:rPr>
          <w:lang w:val="en-US"/>
        </w:rPr>
        <w:t xml:space="preserve"> </w:t>
      </w:r>
      <w:r w:rsidRPr="00A51E68">
        <w:rPr>
          <w:lang w:val="en-US"/>
        </w:rPr>
        <w:t>and</w:t>
      </w:r>
      <w:r w:rsidRPr="00E75625">
        <w:rPr>
          <w:lang w:val="en-US"/>
        </w:rPr>
        <w:t xml:space="preserve"> </w:t>
      </w:r>
      <w:r w:rsidRPr="00A51E68">
        <w:rPr>
          <w:lang w:val="en-US"/>
        </w:rPr>
        <w:t>responsibilities</w:t>
      </w:r>
      <w:r w:rsidRPr="00E75625">
        <w:rPr>
          <w:lang w:val="en-US"/>
        </w:rPr>
        <w:t xml:space="preserve"> </w:t>
      </w:r>
      <w:r w:rsidRPr="00A51E68">
        <w:rPr>
          <w:lang w:val="en-US"/>
        </w:rPr>
        <w:t>of</w:t>
      </w:r>
      <w:r w:rsidRPr="00E75625">
        <w:rPr>
          <w:lang w:val="en-US"/>
        </w:rPr>
        <w:t xml:space="preserve"> </w:t>
      </w:r>
      <w:r w:rsidRPr="00A51E68">
        <w:rPr>
          <w:lang w:val="en-US"/>
        </w:rPr>
        <w:t>subdivisions</w:t>
      </w:r>
      <w:r w:rsidR="00F2456E" w:rsidRPr="00E75625">
        <w:rPr>
          <w:color w:val="000000" w:themeColor="text1"/>
          <w:lang w:val="en-US"/>
        </w:rPr>
        <w:t>.</w:t>
      </w:r>
    </w:p>
    <w:p w14:paraId="61A1DA8B" w14:textId="5107341E" w:rsidR="00F2456E" w:rsidRPr="00E75625" w:rsidRDefault="00E75625" w:rsidP="00F2456E">
      <w:pPr>
        <w:numPr>
          <w:ilvl w:val="0"/>
          <w:numId w:val="7"/>
        </w:numPr>
        <w:tabs>
          <w:tab w:val="left" w:pos="0"/>
        </w:tabs>
        <w:spacing w:after="0" w:line="240" w:lineRule="auto"/>
        <w:ind w:left="0" w:firstLine="0"/>
        <w:jc w:val="both"/>
        <w:rPr>
          <w:lang w:val="en-US"/>
        </w:rPr>
      </w:pPr>
      <w:r>
        <w:rPr>
          <w:lang w:val="en-US"/>
        </w:rPr>
        <w:t>All</w:t>
      </w:r>
      <w:r w:rsidRPr="00CA428A">
        <w:rPr>
          <w:lang w:val="kk-KZ"/>
        </w:rPr>
        <w:t xml:space="preserve"> Bank employees shall be liable for </w:t>
      </w:r>
      <w:r>
        <w:rPr>
          <w:lang w:val="en-US"/>
        </w:rPr>
        <w:t>failure</w:t>
      </w:r>
      <w:r w:rsidRPr="00E75625">
        <w:rPr>
          <w:lang w:val="en-US"/>
        </w:rPr>
        <w:t xml:space="preserve"> </w:t>
      </w:r>
      <w:r>
        <w:rPr>
          <w:lang w:val="en-US"/>
        </w:rPr>
        <w:t>to</w:t>
      </w:r>
      <w:r w:rsidRPr="00E75625">
        <w:rPr>
          <w:lang w:val="en-US"/>
        </w:rPr>
        <w:t xml:space="preserve"> </w:t>
      </w:r>
      <w:r>
        <w:rPr>
          <w:lang w:val="en-US"/>
        </w:rPr>
        <w:t>implement</w:t>
      </w:r>
      <w:r w:rsidRPr="00E75625">
        <w:rPr>
          <w:lang w:val="en-US"/>
        </w:rPr>
        <w:t>/</w:t>
      </w:r>
      <w:r>
        <w:rPr>
          <w:lang w:val="en-US"/>
        </w:rPr>
        <w:t>improper</w:t>
      </w:r>
      <w:r w:rsidRPr="00E75625">
        <w:rPr>
          <w:lang w:val="en-US"/>
        </w:rPr>
        <w:t xml:space="preserve"> </w:t>
      </w:r>
      <w:r>
        <w:rPr>
          <w:lang w:val="en-US"/>
        </w:rPr>
        <w:t>implementation of</w:t>
      </w:r>
      <w:r w:rsidRPr="00E75625">
        <w:rPr>
          <w:lang w:val="en-US"/>
        </w:rPr>
        <w:t xml:space="preserve"> </w:t>
      </w:r>
      <w:r w:rsidRPr="00CA428A">
        <w:rPr>
          <w:lang w:val="kk-KZ"/>
        </w:rPr>
        <w:t xml:space="preserve">provisions of this Policy </w:t>
      </w:r>
      <w:r>
        <w:rPr>
          <w:lang w:val="en-US"/>
        </w:rPr>
        <w:t>when</w:t>
      </w:r>
      <w:r w:rsidRPr="00E75625">
        <w:rPr>
          <w:lang w:val="en-US"/>
        </w:rPr>
        <w:t xml:space="preserve"> </w:t>
      </w:r>
      <w:r>
        <w:rPr>
          <w:lang w:val="en-US"/>
        </w:rPr>
        <w:t>preparing</w:t>
      </w:r>
      <w:r w:rsidRPr="00E75625">
        <w:rPr>
          <w:lang w:val="en-US"/>
        </w:rPr>
        <w:t xml:space="preserve"> </w:t>
      </w:r>
      <w:r>
        <w:rPr>
          <w:lang w:val="en-US"/>
        </w:rPr>
        <w:t>and</w:t>
      </w:r>
      <w:r w:rsidRPr="00E75625">
        <w:rPr>
          <w:lang w:val="en-US"/>
        </w:rPr>
        <w:t xml:space="preserve"> </w:t>
      </w:r>
      <w:r>
        <w:rPr>
          <w:lang w:val="en-US"/>
        </w:rPr>
        <w:t>approving</w:t>
      </w:r>
      <w:r w:rsidRPr="00E75625">
        <w:rPr>
          <w:lang w:val="en-US"/>
        </w:rPr>
        <w:t xml:space="preserve"> </w:t>
      </w:r>
      <w:r>
        <w:rPr>
          <w:lang w:val="en-US"/>
        </w:rPr>
        <w:t>the</w:t>
      </w:r>
      <w:r w:rsidRPr="00CA428A">
        <w:rPr>
          <w:lang w:val="kk-KZ"/>
        </w:rPr>
        <w:t xml:space="preserve"> internal regulatory documents</w:t>
      </w:r>
      <w:r w:rsidRPr="00E75625">
        <w:rPr>
          <w:lang w:val="en-US"/>
        </w:rPr>
        <w:t xml:space="preserve">, </w:t>
      </w:r>
      <w:r>
        <w:rPr>
          <w:lang w:val="en-US"/>
        </w:rPr>
        <w:t>developing</w:t>
      </w:r>
      <w:r w:rsidRPr="00E75625">
        <w:rPr>
          <w:lang w:val="en-US"/>
        </w:rPr>
        <w:t xml:space="preserve"> </w:t>
      </w:r>
      <w:r>
        <w:rPr>
          <w:lang w:val="en-US"/>
        </w:rPr>
        <w:t>and introducing processes, exchanging information and other types of communications, when planning and carrying out activities governed by this Policy</w:t>
      </w:r>
      <w:r w:rsidR="00F2456E" w:rsidRPr="00E75625">
        <w:rPr>
          <w:lang w:val="en-US"/>
        </w:rPr>
        <w:t>.</w:t>
      </w:r>
    </w:p>
    <w:p w14:paraId="194A03DB" w14:textId="7BFEDF15" w:rsidR="00F2456E" w:rsidRPr="00E75625" w:rsidRDefault="00E75625" w:rsidP="00F2456E">
      <w:pPr>
        <w:numPr>
          <w:ilvl w:val="0"/>
          <w:numId w:val="7"/>
        </w:numPr>
        <w:tabs>
          <w:tab w:val="left" w:pos="0"/>
        </w:tabs>
        <w:spacing w:after="0" w:line="240" w:lineRule="auto"/>
        <w:ind w:left="0" w:firstLine="0"/>
        <w:jc w:val="both"/>
        <w:rPr>
          <w:lang w:val="en-US"/>
        </w:rPr>
      </w:pPr>
      <w:r w:rsidRPr="00A75CB2">
        <w:rPr>
          <w:lang w:val="en-US"/>
        </w:rPr>
        <w:tab/>
      </w:r>
      <w:r>
        <w:rPr>
          <w:lang w:val="en-US"/>
        </w:rPr>
        <w:t>T</w:t>
      </w:r>
      <w:r w:rsidRPr="00E75625">
        <w:rPr>
          <w:lang w:val="en-US"/>
        </w:rPr>
        <w:t xml:space="preserve">he type of disciplinary penalty for </w:t>
      </w:r>
      <w:r>
        <w:rPr>
          <w:lang w:val="en-US"/>
        </w:rPr>
        <w:t>failure</w:t>
      </w:r>
      <w:r w:rsidRPr="00E75625">
        <w:rPr>
          <w:lang w:val="en-US"/>
        </w:rPr>
        <w:t xml:space="preserve"> </w:t>
      </w:r>
      <w:r>
        <w:rPr>
          <w:lang w:val="en-US"/>
        </w:rPr>
        <w:t>to</w:t>
      </w:r>
      <w:r w:rsidRPr="00E75625">
        <w:rPr>
          <w:lang w:val="en-US"/>
        </w:rPr>
        <w:t xml:space="preserve"> </w:t>
      </w:r>
      <w:r>
        <w:rPr>
          <w:lang w:val="en-US"/>
        </w:rPr>
        <w:t>implement</w:t>
      </w:r>
      <w:r w:rsidRPr="00E75625">
        <w:rPr>
          <w:lang w:val="en-US"/>
        </w:rPr>
        <w:t>/</w:t>
      </w:r>
      <w:r>
        <w:rPr>
          <w:lang w:val="en-US"/>
        </w:rPr>
        <w:t>improper</w:t>
      </w:r>
      <w:r w:rsidRPr="00E75625">
        <w:rPr>
          <w:lang w:val="en-US"/>
        </w:rPr>
        <w:t xml:space="preserve"> </w:t>
      </w:r>
      <w:r>
        <w:rPr>
          <w:lang w:val="en-US"/>
        </w:rPr>
        <w:t>implementation</w:t>
      </w:r>
      <w:r w:rsidRPr="00E75625">
        <w:rPr>
          <w:lang w:val="en-US"/>
        </w:rPr>
        <w:t xml:space="preserve"> </w:t>
      </w:r>
      <w:r>
        <w:rPr>
          <w:lang w:val="en-US"/>
        </w:rPr>
        <w:t>of</w:t>
      </w:r>
      <w:r w:rsidRPr="00E75625">
        <w:rPr>
          <w:lang w:val="en-US"/>
        </w:rPr>
        <w:t xml:space="preserve"> </w:t>
      </w:r>
      <w:r w:rsidRPr="00CA428A">
        <w:rPr>
          <w:lang w:val="kk-KZ"/>
        </w:rPr>
        <w:t xml:space="preserve">provisions </w:t>
      </w:r>
      <w:r w:rsidRPr="00E75625">
        <w:rPr>
          <w:lang w:val="en-US"/>
        </w:rPr>
        <w:t xml:space="preserve">of this Policy shall be </w:t>
      </w:r>
      <w:r>
        <w:rPr>
          <w:lang w:val="en-US"/>
        </w:rPr>
        <w:t>determined</w:t>
      </w:r>
      <w:r w:rsidRPr="00E75625">
        <w:rPr>
          <w:lang w:val="en-US"/>
        </w:rPr>
        <w:t xml:space="preserve"> in accordance with the laws of the Republic of Kazakhstan and internal regulatory documents of the Bank</w:t>
      </w:r>
      <w:r w:rsidR="00F2456E" w:rsidRPr="00E75625">
        <w:rPr>
          <w:lang w:val="en-US"/>
        </w:rPr>
        <w:t>.</w:t>
      </w:r>
    </w:p>
    <w:p w14:paraId="4782979D" w14:textId="556F905F" w:rsidR="00F2456E" w:rsidRPr="00E75625" w:rsidRDefault="00E75625" w:rsidP="00F2456E">
      <w:pPr>
        <w:numPr>
          <w:ilvl w:val="0"/>
          <w:numId w:val="7"/>
        </w:numPr>
        <w:tabs>
          <w:tab w:val="left" w:pos="0"/>
        </w:tabs>
        <w:spacing w:after="0" w:line="240" w:lineRule="auto"/>
        <w:ind w:left="0" w:firstLine="0"/>
        <w:jc w:val="both"/>
        <w:rPr>
          <w:lang w:val="en-US"/>
        </w:rPr>
      </w:pPr>
      <w:r w:rsidRPr="00A75CB2">
        <w:rPr>
          <w:lang w:val="en-US"/>
        </w:rPr>
        <w:tab/>
      </w:r>
      <w:r>
        <w:rPr>
          <w:lang w:val="en-US"/>
        </w:rPr>
        <w:t>The Management Board shall be charged with c</w:t>
      </w:r>
      <w:r w:rsidRPr="00E75625">
        <w:rPr>
          <w:lang w:val="en-US"/>
        </w:rPr>
        <w:t>ontrol over fulfillment of the requirements established by the Policy</w:t>
      </w:r>
      <w:r w:rsidR="00F2456E" w:rsidRPr="00E75625">
        <w:rPr>
          <w:lang w:val="en-US"/>
        </w:rPr>
        <w:t>.</w:t>
      </w:r>
    </w:p>
    <w:p w14:paraId="77FF3E92" w14:textId="5BF4782C" w:rsidR="00F2456E" w:rsidRPr="00E75625" w:rsidRDefault="00E75625" w:rsidP="00F2456E">
      <w:pPr>
        <w:pStyle w:val="a7"/>
        <w:numPr>
          <w:ilvl w:val="0"/>
          <w:numId w:val="7"/>
        </w:numPr>
        <w:spacing w:after="0" w:line="240" w:lineRule="auto"/>
        <w:ind w:left="0" w:firstLine="0"/>
        <w:jc w:val="both"/>
        <w:rPr>
          <w:lang w:val="en-US"/>
        </w:rPr>
      </w:pPr>
      <w:r w:rsidRPr="00CA428A">
        <w:rPr>
          <w:lang w:val="kk-KZ"/>
        </w:rPr>
        <w:t xml:space="preserve">The Bank </w:t>
      </w:r>
      <w:r>
        <w:rPr>
          <w:lang w:val="en-US"/>
        </w:rPr>
        <w:t>shall</w:t>
      </w:r>
      <w:r w:rsidRPr="00CA428A">
        <w:rPr>
          <w:lang w:val="kk-KZ"/>
        </w:rPr>
        <w:t xml:space="preserve"> improve this Policy </w:t>
      </w:r>
      <w:r>
        <w:rPr>
          <w:lang w:val="en-US"/>
        </w:rPr>
        <w:t>subject to</w:t>
      </w:r>
      <w:r w:rsidRPr="00CA428A">
        <w:rPr>
          <w:lang w:val="kk-KZ"/>
        </w:rPr>
        <w:t xml:space="preserve"> changes in legislation and emergence of new </w:t>
      </w:r>
      <w:r>
        <w:rPr>
          <w:lang w:val="en-US"/>
        </w:rPr>
        <w:t>sustainability</w:t>
      </w:r>
      <w:r w:rsidRPr="00CA428A">
        <w:rPr>
          <w:lang w:val="kk-KZ"/>
        </w:rPr>
        <w:t xml:space="preserve"> standards in</w:t>
      </w:r>
      <w:r>
        <w:rPr>
          <w:lang w:val="en-US"/>
        </w:rPr>
        <w:t xml:space="preserve"> the</w:t>
      </w:r>
      <w:r w:rsidRPr="00CA428A">
        <w:rPr>
          <w:lang w:val="kk-KZ"/>
        </w:rPr>
        <w:t xml:space="preserve"> international and </w:t>
      </w:r>
      <w:r>
        <w:rPr>
          <w:lang w:val="en-US"/>
        </w:rPr>
        <w:t xml:space="preserve">domestic </w:t>
      </w:r>
      <w:r w:rsidRPr="00CA428A">
        <w:rPr>
          <w:lang w:val="kk-KZ"/>
        </w:rPr>
        <w:t>practice</w:t>
      </w:r>
      <w:r>
        <w:rPr>
          <w:lang w:val="en-US"/>
        </w:rPr>
        <w:t>, and subject to development of the Bank’s sustainable development practices</w:t>
      </w:r>
      <w:r w:rsidR="00F2456E" w:rsidRPr="00E75625">
        <w:rPr>
          <w:color w:val="000000" w:themeColor="text1"/>
          <w:lang w:val="en-US"/>
        </w:rPr>
        <w:t>.</w:t>
      </w:r>
    </w:p>
    <w:p w14:paraId="16104D65" w14:textId="714444B4" w:rsidR="00F2456E" w:rsidRPr="00E75625" w:rsidRDefault="00E75625" w:rsidP="00F2456E">
      <w:pPr>
        <w:pStyle w:val="a7"/>
        <w:numPr>
          <w:ilvl w:val="0"/>
          <w:numId w:val="7"/>
        </w:numPr>
        <w:spacing w:after="0" w:line="240" w:lineRule="auto"/>
        <w:ind w:left="0" w:firstLine="0"/>
        <w:jc w:val="both"/>
        <w:rPr>
          <w:lang w:val="en-US"/>
        </w:rPr>
      </w:pPr>
      <w:r>
        <w:rPr>
          <w:color w:val="000000" w:themeColor="text1"/>
          <w:lang w:val="en-US"/>
        </w:rPr>
        <w:t>The</w:t>
      </w:r>
      <w:r w:rsidRPr="00E75625">
        <w:rPr>
          <w:color w:val="000000" w:themeColor="text1"/>
          <w:lang w:val="en-US"/>
        </w:rPr>
        <w:t xml:space="preserve"> </w:t>
      </w:r>
      <w:r>
        <w:rPr>
          <w:color w:val="000000" w:themeColor="text1"/>
          <w:lang w:val="en-US"/>
        </w:rPr>
        <w:t>Policy</w:t>
      </w:r>
      <w:r w:rsidRPr="00E75625">
        <w:rPr>
          <w:color w:val="000000" w:themeColor="text1"/>
          <w:lang w:val="en-US"/>
        </w:rPr>
        <w:t xml:space="preserve"> </w:t>
      </w:r>
      <w:r>
        <w:rPr>
          <w:color w:val="000000" w:themeColor="text1"/>
          <w:lang w:val="en-US"/>
        </w:rPr>
        <w:t>shall</w:t>
      </w:r>
      <w:r w:rsidRPr="00E75625">
        <w:rPr>
          <w:color w:val="000000" w:themeColor="text1"/>
          <w:lang w:val="en-US"/>
        </w:rPr>
        <w:t xml:space="preserve"> </w:t>
      </w:r>
      <w:r>
        <w:rPr>
          <w:color w:val="000000" w:themeColor="text1"/>
          <w:lang w:val="en-US"/>
        </w:rPr>
        <w:t>be</w:t>
      </w:r>
      <w:r w:rsidRPr="00E75625">
        <w:rPr>
          <w:color w:val="000000" w:themeColor="text1"/>
          <w:lang w:val="en-US"/>
        </w:rPr>
        <w:t xml:space="preserve"> </w:t>
      </w:r>
      <w:r>
        <w:rPr>
          <w:color w:val="000000" w:themeColor="text1"/>
          <w:lang w:val="en-US"/>
        </w:rPr>
        <w:t>approved</w:t>
      </w:r>
      <w:r w:rsidRPr="00E75625">
        <w:rPr>
          <w:color w:val="000000" w:themeColor="text1"/>
          <w:lang w:val="en-US"/>
        </w:rPr>
        <w:t xml:space="preserve"> </w:t>
      </w:r>
      <w:r>
        <w:rPr>
          <w:color w:val="000000" w:themeColor="text1"/>
          <w:lang w:val="en-US"/>
        </w:rPr>
        <w:t>by</w:t>
      </w:r>
      <w:r w:rsidRPr="00E75625">
        <w:rPr>
          <w:color w:val="000000" w:themeColor="text1"/>
          <w:lang w:val="en-US"/>
        </w:rPr>
        <w:t xml:space="preserve"> </w:t>
      </w:r>
      <w:r>
        <w:rPr>
          <w:color w:val="000000" w:themeColor="text1"/>
          <w:lang w:val="en-US"/>
        </w:rPr>
        <w:t>the Bank’s Board of Directors</w:t>
      </w:r>
      <w:r w:rsidR="00F2456E" w:rsidRPr="00E75625">
        <w:rPr>
          <w:color w:val="000000" w:themeColor="text1"/>
          <w:lang w:val="en-US"/>
        </w:rPr>
        <w:t>.</w:t>
      </w:r>
    </w:p>
    <w:p w14:paraId="0A75D3F7" w14:textId="118E52FD" w:rsidR="00F2456E" w:rsidRPr="00E75625" w:rsidRDefault="00E75625" w:rsidP="00F2456E">
      <w:pPr>
        <w:numPr>
          <w:ilvl w:val="0"/>
          <w:numId w:val="7"/>
        </w:numPr>
        <w:tabs>
          <w:tab w:val="left" w:pos="0"/>
        </w:tabs>
        <w:spacing w:after="0" w:line="240" w:lineRule="auto"/>
        <w:ind w:left="0" w:firstLine="0"/>
        <w:jc w:val="both"/>
        <w:rPr>
          <w:rFonts w:cs="Times New Roman"/>
          <w:lang w:val="en-US"/>
        </w:rPr>
      </w:pPr>
      <w:r>
        <w:rPr>
          <w:rFonts w:cs="Times New Roman"/>
          <w:lang w:val="en-US"/>
        </w:rPr>
        <w:t>Any</w:t>
      </w:r>
      <w:r w:rsidRPr="00E75625">
        <w:rPr>
          <w:rFonts w:cs="Times New Roman"/>
          <w:lang w:val="en-US"/>
        </w:rPr>
        <w:t xml:space="preserve"> </w:t>
      </w:r>
      <w:r>
        <w:rPr>
          <w:rFonts w:cs="Times New Roman"/>
          <w:lang w:val="en-US"/>
        </w:rPr>
        <w:t>matters</w:t>
      </w:r>
      <w:r w:rsidRPr="00E75625">
        <w:rPr>
          <w:rFonts w:cs="Times New Roman"/>
          <w:lang w:val="en-US"/>
        </w:rPr>
        <w:t xml:space="preserve"> </w:t>
      </w:r>
      <w:r>
        <w:rPr>
          <w:rFonts w:cs="Times New Roman"/>
          <w:lang w:val="en-US"/>
        </w:rPr>
        <w:t>not</w:t>
      </w:r>
      <w:r w:rsidRPr="00E75625">
        <w:rPr>
          <w:rFonts w:cs="Times New Roman"/>
          <w:lang w:val="en-US"/>
        </w:rPr>
        <w:t xml:space="preserve"> </w:t>
      </w:r>
      <w:r>
        <w:rPr>
          <w:rFonts w:cs="Times New Roman"/>
          <w:lang w:val="en-US"/>
        </w:rPr>
        <w:t>covered</w:t>
      </w:r>
      <w:r w:rsidRPr="00E75625">
        <w:rPr>
          <w:rFonts w:cs="Times New Roman"/>
          <w:lang w:val="en-US"/>
        </w:rPr>
        <w:t xml:space="preserve"> </w:t>
      </w:r>
      <w:r>
        <w:rPr>
          <w:rFonts w:cs="Times New Roman"/>
          <w:lang w:val="en-US"/>
        </w:rPr>
        <w:t>by</w:t>
      </w:r>
      <w:r w:rsidRPr="00E75625">
        <w:rPr>
          <w:rFonts w:cs="Times New Roman"/>
          <w:lang w:val="en-US"/>
        </w:rPr>
        <w:t xml:space="preserve"> </w:t>
      </w:r>
      <w:r>
        <w:rPr>
          <w:rFonts w:cs="Times New Roman"/>
          <w:lang w:val="en-US"/>
        </w:rPr>
        <w:t>this</w:t>
      </w:r>
      <w:r w:rsidRPr="00E75625">
        <w:rPr>
          <w:rFonts w:cs="Times New Roman"/>
          <w:lang w:val="en-US"/>
        </w:rPr>
        <w:t xml:space="preserve"> </w:t>
      </w:r>
      <w:r>
        <w:rPr>
          <w:rFonts w:cs="Times New Roman"/>
          <w:lang w:val="en-US"/>
        </w:rPr>
        <w:t>Policy</w:t>
      </w:r>
      <w:r w:rsidRPr="00E75625">
        <w:rPr>
          <w:rFonts w:cs="Times New Roman"/>
          <w:lang w:val="en-US"/>
        </w:rPr>
        <w:t xml:space="preserve"> </w:t>
      </w:r>
      <w:r>
        <w:rPr>
          <w:rFonts w:cs="Times New Roman"/>
          <w:lang w:val="en-US"/>
        </w:rPr>
        <w:t>shall</w:t>
      </w:r>
      <w:r w:rsidRPr="00E75625">
        <w:rPr>
          <w:rFonts w:cs="Times New Roman"/>
          <w:lang w:val="en-US"/>
        </w:rPr>
        <w:t xml:space="preserve"> </w:t>
      </w:r>
      <w:r>
        <w:rPr>
          <w:rFonts w:cs="Times New Roman"/>
          <w:lang w:val="en-US"/>
        </w:rPr>
        <w:t>be</w:t>
      </w:r>
      <w:r w:rsidRPr="00E75625">
        <w:rPr>
          <w:rFonts w:cs="Times New Roman"/>
          <w:lang w:val="en-US"/>
        </w:rPr>
        <w:t xml:space="preserve"> </w:t>
      </w:r>
      <w:r>
        <w:rPr>
          <w:rFonts w:cs="Times New Roman"/>
          <w:lang w:val="en-US"/>
        </w:rPr>
        <w:t>settled</w:t>
      </w:r>
      <w:r w:rsidRPr="00E75625">
        <w:rPr>
          <w:rFonts w:cs="Times New Roman"/>
          <w:lang w:val="en-US"/>
        </w:rPr>
        <w:t xml:space="preserve"> </w:t>
      </w:r>
      <w:r>
        <w:rPr>
          <w:rFonts w:cs="Times New Roman"/>
          <w:lang w:val="en-US"/>
        </w:rPr>
        <w:t>in</w:t>
      </w:r>
      <w:r w:rsidRPr="00E75625">
        <w:rPr>
          <w:rFonts w:cs="Times New Roman"/>
          <w:lang w:val="en-US"/>
        </w:rPr>
        <w:t xml:space="preserve"> </w:t>
      </w:r>
      <w:r>
        <w:rPr>
          <w:rFonts w:cs="Times New Roman"/>
          <w:lang w:val="en-US"/>
        </w:rPr>
        <w:t>accordance</w:t>
      </w:r>
      <w:r w:rsidRPr="00E75625">
        <w:rPr>
          <w:rFonts w:cs="Times New Roman"/>
          <w:lang w:val="en-US"/>
        </w:rPr>
        <w:t xml:space="preserve"> </w:t>
      </w:r>
      <w:r>
        <w:rPr>
          <w:rFonts w:cs="Times New Roman"/>
          <w:lang w:val="en-US"/>
        </w:rPr>
        <w:t>with</w:t>
      </w:r>
      <w:r w:rsidRPr="00E75625">
        <w:rPr>
          <w:rFonts w:cs="Times New Roman"/>
          <w:lang w:val="en-US"/>
        </w:rPr>
        <w:t xml:space="preserve"> </w:t>
      </w:r>
      <w:r>
        <w:rPr>
          <w:rFonts w:cs="Times New Roman"/>
          <w:lang w:val="en-US"/>
        </w:rPr>
        <w:t>the</w:t>
      </w:r>
      <w:r w:rsidRPr="00E75625">
        <w:rPr>
          <w:rFonts w:cs="Times New Roman"/>
          <w:lang w:val="en-US"/>
        </w:rPr>
        <w:t xml:space="preserve"> </w:t>
      </w:r>
      <w:r>
        <w:rPr>
          <w:rFonts w:cs="Times New Roman"/>
          <w:lang w:val="en-US"/>
        </w:rPr>
        <w:t>laws</w:t>
      </w:r>
      <w:r w:rsidRPr="00E75625">
        <w:rPr>
          <w:rFonts w:cs="Times New Roman"/>
          <w:lang w:val="en-US"/>
        </w:rPr>
        <w:t xml:space="preserve"> </w:t>
      </w:r>
      <w:r>
        <w:rPr>
          <w:rFonts w:cs="Times New Roman"/>
          <w:lang w:val="en-US"/>
        </w:rPr>
        <w:t>of</w:t>
      </w:r>
      <w:r w:rsidRPr="00E75625">
        <w:rPr>
          <w:rFonts w:cs="Times New Roman"/>
          <w:lang w:val="en-US"/>
        </w:rPr>
        <w:t xml:space="preserve"> </w:t>
      </w:r>
      <w:r>
        <w:rPr>
          <w:rFonts w:cs="Times New Roman"/>
          <w:lang w:val="en-US"/>
        </w:rPr>
        <w:t>the</w:t>
      </w:r>
      <w:r w:rsidRPr="00E75625">
        <w:rPr>
          <w:rFonts w:cs="Times New Roman"/>
          <w:lang w:val="en-US"/>
        </w:rPr>
        <w:t xml:space="preserve"> </w:t>
      </w:r>
      <w:r>
        <w:rPr>
          <w:rFonts w:cs="Times New Roman"/>
          <w:lang w:val="en-US"/>
        </w:rPr>
        <w:t>Republic</w:t>
      </w:r>
      <w:r w:rsidRPr="00E75625">
        <w:rPr>
          <w:rFonts w:cs="Times New Roman"/>
          <w:lang w:val="en-US"/>
        </w:rPr>
        <w:t xml:space="preserve"> </w:t>
      </w:r>
      <w:r>
        <w:rPr>
          <w:rFonts w:cs="Times New Roman"/>
          <w:lang w:val="en-US"/>
        </w:rPr>
        <w:t>of</w:t>
      </w:r>
      <w:r w:rsidRPr="00E75625">
        <w:rPr>
          <w:rFonts w:cs="Times New Roman"/>
          <w:lang w:val="en-US"/>
        </w:rPr>
        <w:t xml:space="preserve"> </w:t>
      </w:r>
      <w:r>
        <w:rPr>
          <w:rFonts w:cs="Times New Roman"/>
          <w:lang w:val="en-US"/>
        </w:rPr>
        <w:t>Kazakhstan</w:t>
      </w:r>
      <w:r w:rsidRPr="00E75625">
        <w:rPr>
          <w:rFonts w:cs="Times New Roman"/>
          <w:lang w:val="en-US"/>
        </w:rPr>
        <w:t xml:space="preserve">, </w:t>
      </w:r>
      <w:r>
        <w:rPr>
          <w:rFonts w:cs="Times New Roman"/>
          <w:lang w:val="en-US"/>
        </w:rPr>
        <w:t>the</w:t>
      </w:r>
      <w:r w:rsidRPr="00E75625">
        <w:rPr>
          <w:rFonts w:cs="Times New Roman"/>
          <w:lang w:val="en-US"/>
        </w:rPr>
        <w:t xml:space="preserve"> </w:t>
      </w:r>
      <w:r>
        <w:rPr>
          <w:rFonts w:cs="Times New Roman"/>
          <w:lang w:val="en-US"/>
        </w:rPr>
        <w:t>Bank</w:t>
      </w:r>
      <w:r w:rsidRPr="00E75625">
        <w:rPr>
          <w:rFonts w:cs="Times New Roman"/>
          <w:lang w:val="en-US"/>
        </w:rPr>
        <w:t>’</w:t>
      </w:r>
      <w:r>
        <w:rPr>
          <w:rFonts w:cs="Times New Roman"/>
          <w:lang w:val="en-US"/>
        </w:rPr>
        <w:t>s</w:t>
      </w:r>
      <w:r w:rsidRPr="00E75625">
        <w:rPr>
          <w:rFonts w:cs="Times New Roman"/>
          <w:lang w:val="en-US"/>
        </w:rPr>
        <w:t xml:space="preserve"> </w:t>
      </w:r>
      <w:r>
        <w:rPr>
          <w:rFonts w:cs="Times New Roman"/>
          <w:lang w:val="en-US"/>
        </w:rPr>
        <w:t>Articles</w:t>
      </w:r>
      <w:r w:rsidRPr="00E75625">
        <w:rPr>
          <w:rFonts w:cs="Times New Roman"/>
          <w:lang w:val="en-US"/>
        </w:rPr>
        <w:t xml:space="preserve"> </w:t>
      </w:r>
      <w:r>
        <w:rPr>
          <w:rFonts w:cs="Times New Roman"/>
          <w:lang w:val="en-US"/>
        </w:rPr>
        <w:t>of</w:t>
      </w:r>
      <w:r w:rsidRPr="00E75625">
        <w:rPr>
          <w:rFonts w:cs="Times New Roman"/>
          <w:lang w:val="en-US"/>
        </w:rPr>
        <w:t xml:space="preserve"> </w:t>
      </w:r>
      <w:r>
        <w:rPr>
          <w:rFonts w:cs="Times New Roman"/>
          <w:lang w:val="en-US"/>
        </w:rPr>
        <w:t>Association</w:t>
      </w:r>
      <w:r w:rsidRPr="00E75625">
        <w:rPr>
          <w:rFonts w:cs="Times New Roman"/>
          <w:lang w:val="en-US"/>
        </w:rPr>
        <w:t xml:space="preserve">, </w:t>
      </w:r>
      <w:r>
        <w:rPr>
          <w:rFonts w:cs="Times New Roman"/>
          <w:lang w:val="en-US"/>
        </w:rPr>
        <w:t>internal</w:t>
      </w:r>
      <w:r w:rsidRPr="00E75625">
        <w:rPr>
          <w:rFonts w:cs="Times New Roman"/>
          <w:lang w:val="en-US"/>
        </w:rPr>
        <w:t xml:space="preserve"> </w:t>
      </w:r>
      <w:r>
        <w:rPr>
          <w:rFonts w:cs="Times New Roman"/>
          <w:lang w:val="en-US"/>
        </w:rPr>
        <w:t xml:space="preserve">regulatory documents, and decisions </w:t>
      </w:r>
      <w:r w:rsidR="0009654A">
        <w:rPr>
          <w:rFonts w:cs="Times New Roman"/>
          <w:lang w:val="en-US"/>
        </w:rPr>
        <w:t>of</w:t>
      </w:r>
      <w:r>
        <w:rPr>
          <w:rFonts w:cs="Times New Roman"/>
          <w:lang w:val="en-US"/>
        </w:rPr>
        <w:t xml:space="preserve"> the Bank’s bodies and officials</w:t>
      </w:r>
      <w:r w:rsidR="0009654A">
        <w:rPr>
          <w:rFonts w:cs="Times New Roman"/>
          <w:lang w:val="en-US"/>
        </w:rPr>
        <w:t xml:space="preserve"> made </w:t>
      </w:r>
      <w:r w:rsidR="0009654A" w:rsidRPr="0009654A">
        <w:rPr>
          <w:rFonts w:cs="Times New Roman"/>
          <w:lang w:val="en-US"/>
        </w:rPr>
        <w:t>in accordance with the established procedure within their competence</w:t>
      </w:r>
      <w:r w:rsidR="00F2456E" w:rsidRPr="00E75625">
        <w:rPr>
          <w:rFonts w:cs="Times New Roman"/>
          <w:lang w:val="en-US"/>
        </w:rPr>
        <w:t>.</w:t>
      </w:r>
    </w:p>
    <w:p w14:paraId="65516E04" w14:textId="57CDB5E0" w:rsidR="00F2456E" w:rsidRPr="00E75625" w:rsidRDefault="00E75625" w:rsidP="00F2456E">
      <w:pPr>
        <w:pStyle w:val="a7"/>
        <w:numPr>
          <w:ilvl w:val="0"/>
          <w:numId w:val="7"/>
        </w:numPr>
        <w:spacing w:after="0" w:line="240" w:lineRule="auto"/>
        <w:ind w:left="0" w:firstLine="0"/>
        <w:jc w:val="both"/>
        <w:rPr>
          <w:color w:val="000000" w:themeColor="text1"/>
          <w:lang w:val="en-US"/>
        </w:rPr>
      </w:pPr>
      <w:r w:rsidRPr="00CA428A">
        <w:rPr>
          <w:lang w:val="kk-KZ"/>
        </w:rPr>
        <w:t xml:space="preserve">The Policy </w:t>
      </w:r>
      <w:r>
        <w:rPr>
          <w:lang w:val="en-US"/>
        </w:rPr>
        <w:t>shall be</w:t>
      </w:r>
      <w:r w:rsidRPr="00CA428A">
        <w:rPr>
          <w:lang w:val="kk-KZ"/>
        </w:rPr>
        <w:t xml:space="preserve"> </w:t>
      </w:r>
      <w:r>
        <w:rPr>
          <w:lang w:val="en-US"/>
        </w:rPr>
        <w:t>revised</w:t>
      </w:r>
      <w:r w:rsidRPr="00CA428A">
        <w:rPr>
          <w:lang w:val="kk-KZ"/>
        </w:rPr>
        <w:t xml:space="preserve"> at least once </w:t>
      </w:r>
      <w:r>
        <w:rPr>
          <w:lang w:val="en-US"/>
        </w:rPr>
        <w:t>in three</w:t>
      </w:r>
      <w:r w:rsidRPr="00CA428A">
        <w:rPr>
          <w:lang w:val="kk-KZ"/>
        </w:rPr>
        <w:t xml:space="preserve"> year</w:t>
      </w:r>
      <w:r>
        <w:rPr>
          <w:lang w:val="en-US"/>
        </w:rPr>
        <w:t>s</w:t>
      </w:r>
      <w:r w:rsidR="00F2456E" w:rsidRPr="00E75625">
        <w:rPr>
          <w:color w:val="000000" w:themeColor="text1"/>
          <w:lang w:val="en-US"/>
        </w:rPr>
        <w:t>.</w:t>
      </w:r>
    </w:p>
    <w:p w14:paraId="7FF66DA2" w14:textId="77777777" w:rsidR="00F2456E" w:rsidRPr="00E75625" w:rsidRDefault="00F2456E" w:rsidP="00F2456E">
      <w:pPr>
        <w:pStyle w:val="a7"/>
        <w:spacing w:after="0" w:line="240" w:lineRule="auto"/>
        <w:ind w:left="0"/>
        <w:jc w:val="right"/>
        <w:rPr>
          <w:color w:val="000000" w:themeColor="text1"/>
          <w:lang w:val="en-US"/>
        </w:rPr>
      </w:pPr>
      <w:r w:rsidRPr="00E75625">
        <w:rPr>
          <w:color w:val="000000" w:themeColor="text1"/>
          <w:lang w:val="en-US"/>
        </w:rPr>
        <w:br w:type="page"/>
      </w:r>
    </w:p>
    <w:p w14:paraId="2BD8EC6B" w14:textId="7B776A27" w:rsidR="00F2456E" w:rsidRPr="0009654A" w:rsidRDefault="0009654A" w:rsidP="00F2456E">
      <w:pPr>
        <w:pStyle w:val="2"/>
        <w:rPr>
          <w:rFonts w:eastAsia="Times New Roman"/>
          <w:lang w:val="en-US" w:eastAsia="ru-RU"/>
        </w:rPr>
      </w:pPr>
      <w:bookmarkStart w:id="39" w:name="_Toc139019047"/>
      <w:bookmarkStart w:id="40" w:name="_Toc139290508"/>
      <w:bookmarkStart w:id="41" w:name="_Toc139473424"/>
      <w:bookmarkStart w:id="42" w:name="_Toc199501414"/>
      <w:r>
        <w:rPr>
          <w:rFonts w:eastAsia="Times New Roman"/>
          <w:lang w:val="en-US" w:eastAsia="ru-RU"/>
        </w:rPr>
        <w:lastRenderedPageBreak/>
        <w:t>Annex</w:t>
      </w:r>
      <w:r w:rsidR="00F2456E" w:rsidRPr="00A75CB2">
        <w:rPr>
          <w:rFonts w:eastAsia="Times New Roman"/>
          <w:lang w:val="en-US" w:eastAsia="ru-RU"/>
        </w:rPr>
        <w:t xml:space="preserve"> </w:t>
      </w:r>
      <w:bookmarkEnd w:id="39"/>
      <w:bookmarkEnd w:id="40"/>
      <w:bookmarkEnd w:id="41"/>
      <w:r w:rsidR="00F2456E" w:rsidRPr="00A75CB2">
        <w:rPr>
          <w:rFonts w:eastAsia="Times New Roman"/>
          <w:lang w:val="en-US" w:eastAsia="ru-RU"/>
        </w:rPr>
        <w:t xml:space="preserve">1. </w:t>
      </w:r>
      <w:r>
        <w:rPr>
          <w:rFonts w:eastAsia="Times New Roman"/>
          <w:lang w:val="en-US" w:eastAsia="ru-RU"/>
        </w:rPr>
        <w:t>Non</w:t>
      </w:r>
      <w:r w:rsidRPr="0009654A">
        <w:rPr>
          <w:rFonts w:eastAsia="Times New Roman"/>
          <w:lang w:val="en-US" w:eastAsia="ru-RU"/>
        </w:rPr>
        <w:t>-</w:t>
      </w:r>
      <w:r>
        <w:rPr>
          <w:rFonts w:eastAsia="Times New Roman"/>
          <w:lang w:val="en-US" w:eastAsia="ru-RU"/>
        </w:rPr>
        <w:t>Financing</w:t>
      </w:r>
      <w:r w:rsidRPr="0009654A">
        <w:rPr>
          <w:rFonts w:eastAsia="Times New Roman"/>
          <w:lang w:val="en-US" w:eastAsia="ru-RU"/>
        </w:rPr>
        <w:t xml:space="preserve"> </w:t>
      </w:r>
      <w:r>
        <w:rPr>
          <w:rFonts w:eastAsia="Times New Roman"/>
          <w:lang w:val="en-US" w:eastAsia="ru-RU"/>
        </w:rPr>
        <w:t>Activity</w:t>
      </w:r>
      <w:r w:rsidRPr="0009654A">
        <w:rPr>
          <w:rFonts w:eastAsia="Times New Roman"/>
          <w:lang w:val="en-US" w:eastAsia="ru-RU"/>
        </w:rPr>
        <w:t xml:space="preserve"> </w:t>
      </w:r>
      <w:r>
        <w:rPr>
          <w:rFonts w:eastAsia="Times New Roman"/>
          <w:lang w:val="en-US" w:eastAsia="ru-RU"/>
        </w:rPr>
        <w:t>List</w:t>
      </w:r>
      <w:bookmarkEnd w:id="42"/>
    </w:p>
    <w:p w14:paraId="3BF2956B" w14:textId="77777777" w:rsidR="00F2456E" w:rsidRPr="0009654A" w:rsidRDefault="00F2456E" w:rsidP="00F2456E">
      <w:pPr>
        <w:spacing w:after="0" w:line="268" w:lineRule="auto"/>
        <w:ind w:left="703" w:hanging="10"/>
        <w:rPr>
          <w:color w:val="2F5496"/>
          <w:lang w:val="en-US"/>
        </w:rPr>
      </w:pPr>
    </w:p>
    <w:p w14:paraId="645B0DD3" w14:textId="2E39CC85" w:rsidR="00F2456E" w:rsidRPr="0009654A" w:rsidRDefault="0009654A" w:rsidP="00F2456E">
      <w:pPr>
        <w:spacing w:after="0" w:line="268" w:lineRule="auto"/>
        <w:ind w:left="703" w:hanging="10"/>
        <w:jc w:val="center"/>
        <w:rPr>
          <w:b/>
          <w:bCs/>
          <w:lang w:val="en-US"/>
        </w:rPr>
      </w:pPr>
      <w:r>
        <w:rPr>
          <w:b/>
          <w:bCs/>
          <w:lang w:val="en-US"/>
        </w:rPr>
        <w:t>Exclusion List</w:t>
      </w:r>
      <w:r w:rsidR="00F2456E" w:rsidRPr="0009654A">
        <w:rPr>
          <w:b/>
          <w:bCs/>
          <w:lang w:val="en-US"/>
        </w:rPr>
        <w:t>*</w:t>
      </w:r>
    </w:p>
    <w:p w14:paraId="142E3D55" w14:textId="77777777" w:rsidR="00F2456E" w:rsidRPr="0009654A" w:rsidRDefault="00F2456E" w:rsidP="00F2456E">
      <w:pPr>
        <w:spacing w:after="0" w:line="268" w:lineRule="auto"/>
        <w:ind w:left="703" w:hanging="10"/>
        <w:rPr>
          <w:b/>
          <w:bCs/>
          <w:lang w:val="en-US"/>
        </w:rPr>
      </w:pPr>
      <w:r w:rsidRPr="0009654A">
        <w:rPr>
          <w:b/>
          <w:bCs/>
          <w:color w:val="2F5496"/>
          <w:lang w:val="en-US"/>
        </w:rPr>
        <w:t xml:space="preserve"> </w:t>
      </w:r>
    </w:p>
    <w:tbl>
      <w:tblPr>
        <w:tblStyle w:val="TableGrid"/>
        <w:tblW w:w="9917" w:type="dxa"/>
        <w:tblInd w:w="1" w:type="dxa"/>
        <w:tblCellMar>
          <w:top w:w="62" w:type="dxa"/>
          <w:left w:w="116" w:type="dxa"/>
          <w:right w:w="54" w:type="dxa"/>
        </w:tblCellMar>
        <w:tblLook w:val="04A0" w:firstRow="1" w:lastRow="0" w:firstColumn="1" w:lastColumn="0" w:noHBand="0" w:noVBand="1"/>
      </w:tblPr>
      <w:tblGrid>
        <w:gridCol w:w="729"/>
        <w:gridCol w:w="9188"/>
      </w:tblGrid>
      <w:tr w:rsidR="00F2456E" w14:paraId="0DB2231A" w14:textId="77777777" w:rsidTr="00363513">
        <w:trPr>
          <w:trHeight w:val="497"/>
        </w:trPr>
        <w:tc>
          <w:tcPr>
            <w:tcW w:w="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F3AC03" w14:textId="2F361E5B" w:rsidR="00F2456E" w:rsidRPr="0009654A" w:rsidRDefault="0009654A" w:rsidP="00363513">
            <w:pPr>
              <w:spacing w:line="259" w:lineRule="auto"/>
              <w:ind w:right="34"/>
              <w:jc w:val="center"/>
              <w:rPr>
                <w:lang w:val="en-US"/>
              </w:rPr>
            </w:pPr>
            <w:r>
              <w:rPr>
                <w:b/>
                <w:lang w:val="en-US"/>
              </w:rPr>
              <w:t>No.</w:t>
            </w:r>
          </w:p>
        </w:tc>
        <w:tc>
          <w:tcPr>
            <w:tcW w:w="91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AC987" w14:textId="348C691F" w:rsidR="00F2456E" w:rsidRDefault="0009654A" w:rsidP="00363513">
            <w:pPr>
              <w:spacing w:line="259" w:lineRule="auto"/>
              <w:ind w:left="298"/>
              <w:jc w:val="center"/>
            </w:pPr>
            <w:r>
              <w:rPr>
                <w:b/>
                <w:lang w:val="en-US"/>
              </w:rPr>
              <w:t>Sector</w:t>
            </w:r>
            <w:r w:rsidR="00F2456E">
              <w:rPr>
                <w:b/>
              </w:rPr>
              <w:t>/</w:t>
            </w:r>
            <w:r>
              <w:rPr>
                <w:b/>
                <w:lang w:val="en-US"/>
              </w:rPr>
              <w:t>Type of Activity</w:t>
            </w:r>
          </w:p>
        </w:tc>
      </w:tr>
      <w:tr w:rsidR="00F2456E" w:rsidRPr="00A75CB2" w14:paraId="64A18250" w14:textId="77777777" w:rsidTr="00363513">
        <w:trPr>
          <w:trHeight w:val="4207"/>
        </w:trPr>
        <w:tc>
          <w:tcPr>
            <w:tcW w:w="729" w:type="dxa"/>
            <w:tcBorders>
              <w:top w:val="single" w:sz="4" w:space="0" w:color="000000"/>
              <w:left w:val="single" w:sz="4" w:space="0" w:color="000000"/>
              <w:bottom w:val="single" w:sz="4" w:space="0" w:color="000000"/>
              <w:right w:val="single" w:sz="4" w:space="0" w:color="000000"/>
            </w:tcBorders>
          </w:tcPr>
          <w:p w14:paraId="05F954DF" w14:textId="77777777" w:rsidR="00F2456E" w:rsidRDefault="00F2456E" w:rsidP="00363513">
            <w:pPr>
              <w:spacing w:line="259" w:lineRule="auto"/>
              <w:ind w:left="164"/>
            </w:pPr>
            <w:r>
              <w:t xml:space="preserve">1 </w:t>
            </w:r>
          </w:p>
        </w:tc>
        <w:tc>
          <w:tcPr>
            <w:tcW w:w="9188" w:type="dxa"/>
            <w:tcBorders>
              <w:top w:val="single" w:sz="4" w:space="0" w:color="000000"/>
              <w:left w:val="single" w:sz="4" w:space="0" w:color="000000"/>
              <w:bottom w:val="single" w:sz="4" w:space="0" w:color="000000"/>
              <w:right w:val="single" w:sz="4" w:space="0" w:color="000000"/>
            </w:tcBorders>
            <w:vAlign w:val="center"/>
          </w:tcPr>
          <w:p w14:paraId="493999DF" w14:textId="2C6B5D6E" w:rsidR="00F2456E" w:rsidRPr="0009654A" w:rsidRDefault="0009654A" w:rsidP="00363513">
            <w:pPr>
              <w:spacing w:after="107" w:line="250" w:lineRule="auto"/>
              <w:ind w:right="62"/>
              <w:jc w:val="both"/>
              <w:rPr>
                <w:lang w:val="en-US"/>
              </w:rPr>
            </w:pPr>
            <w:r w:rsidRPr="0009654A">
              <w:rPr>
                <w:lang w:val="en-US"/>
              </w:rPr>
              <w:t xml:space="preserve">Production or trade </w:t>
            </w:r>
            <w:r w:rsidR="00DC3BF7">
              <w:rPr>
                <w:lang w:val="en-US"/>
              </w:rPr>
              <w:t>of</w:t>
            </w:r>
            <w:r w:rsidRPr="0009654A">
              <w:rPr>
                <w:lang w:val="en-US"/>
              </w:rPr>
              <w:t xml:space="preserve"> any product or activity considered illegal under the laws of the Republic of Kazakhstan, or international conventions and </w:t>
            </w:r>
            <w:r>
              <w:rPr>
                <w:lang w:val="en-US"/>
              </w:rPr>
              <w:t>treaties</w:t>
            </w:r>
            <w:r w:rsidRPr="0009654A">
              <w:rPr>
                <w:lang w:val="en-US"/>
              </w:rPr>
              <w:t xml:space="preserve">, or </w:t>
            </w:r>
            <w:r>
              <w:rPr>
                <w:lang w:val="en-US"/>
              </w:rPr>
              <w:t>banned</w:t>
            </w:r>
            <w:r w:rsidRPr="0009654A">
              <w:rPr>
                <w:lang w:val="en-US"/>
              </w:rPr>
              <w:t xml:space="preserve"> </w:t>
            </w:r>
            <w:r>
              <w:rPr>
                <w:lang w:val="en-US"/>
              </w:rPr>
              <w:t>i</w:t>
            </w:r>
            <w:r w:rsidRPr="0009654A">
              <w:rPr>
                <w:lang w:val="en-US"/>
              </w:rPr>
              <w:t>nternational</w:t>
            </w:r>
            <w:r>
              <w:rPr>
                <w:lang w:val="en-US"/>
              </w:rPr>
              <w:t>ly</w:t>
            </w:r>
            <w:r w:rsidRPr="0009654A">
              <w:rPr>
                <w:lang w:val="en-US"/>
              </w:rPr>
              <w:t>, such as pharmaceuticals, pesticides, herbicides, ozone-depleting substances, polychlorinated biphenyls, wildlife or products regulated under the Convention on International Trade in Endangered Species of Wild Fauna and Flora (CITES</w:t>
            </w:r>
            <w:r w:rsidR="00F2456E" w:rsidRPr="0009654A">
              <w:rPr>
                <w:lang w:val="en-US"/>
              </w:rPr>
              <w:t xml:space="preserve">). </w:t>
            </w:r>
          </w:p>
          <w:p w14:paraId="41D0D5F4" w14:textId="5E587DF5" w:rsidR="00F2456E" w:rsidRPr="0009654A" w:rsidRDefault="0009654A" w:rsidP="00363513">
            <w:pPr>
              <w:spacing w:line="251" w:lineRule="auto"/>
              <w:ind w:firstLine="358"/>
              <w:jc w:val="both"/>
              <w:rPr>
                <w:color w:val="0070C0"/>
                <w:lang w:val="en-US"/>
              </w:rPr>
            </w:pPr>
            <w:r>
              <w:rPr>
                <w:lang w:val="en-US"/>
              </w:rPr>
              <w:t>UN</w:t>
            </w:r>
            <w:r w:rsidRPr="0009654A">
              <w:rPr>
                <w:lang w:val="en-US"/>
              </w:rPr>
              <w:t xml:space="preserve"> </w:t>
            </w:r>
            <w:r>
              <w:rPr>
                <w:lang w:val="en-US"/>
              </w:rPr>
              <w:t>List</w:t>
            </w:r>
            <w:r w:rsidRPr="0009654A">
              <w:rPr>
                <w:lang w:val="en-US"/>
              </w:rPr>
              <w:t xml:space="preserve"> </w:t>
            </w:r>
            <w:r>
              <w:rPr>
                <w:lang w:val="en-US"/>
              </w:rPr>
              <w:t>of</w:t>
            </w:r>
            <w:r w:rsidRPr="0009654A">
              <w:rPr>
                <w:lang w:val="en-US"/>
              </w:rPr>
              <w:t xml:space="preserve"> </w:t>
            </w:r>
            <w:r>
              <w:rPr>
                <w:lang w:val="en-US"/>
              </w:rPr>
              <w:t>Banned</w:t>
            </w:r>
            <w:r w:rsidRPr="0009654A">
              <w:rPr>
                <w:lang w:val="en-US"/>
              </w:rPr>
              <w:t xml:space="preserve"> </w:t>
            </w:r>
            <w:r>
              <w:rPr>
                <w:lang w:val="en-US"/>
              </w:rPr>
              <w:t>Chemicals</w:t>
            </w:r>
            <w:r w:rsidRPr="0009654A">
              <w:rPr>
                <w:lang w:val="en-US"/>
              </w:rPr>
              <w:t xml:space="preserve"> </w:t>
            </w:r>
            <w:r>
              <w:rPr>
                <w:lang w:val="en-US"/>
              </w:rPr>
              <w:t>and</w:t>
            </w:r>
            <w:r w:rsidRPr="0009654A">
              <w:rPr>
                <w:lang w:val="en-US"/>
              </w:rPr>
              <w:t xml:space="preserve"> </w:t>
            </w:r>
            <w:r>
              <w:rPr>
                <w:lang w:val="en-US"/>
              </w:rPr>
              <w:t>Products</w:t>
            </w:r>
            <w:r w:rsidR="00F2456E" w:rsidRPr="0009654A">
              <w:rPr>
                <w:lang w:val="en-US"/>
              </w:rPr>
              <w:t xml:space="preserve">: </w:t>
            </w:r>
            <w:hyperlink r:id="rId11">
              <w:r w:rsidR="00F2456E" w:rsidRPr="0009654A">
                <w:rPr>
                  <w:color w:val="0070C0"/>
                  <w:u w:val="single" w:color="A5A5A5"/>
                  <w:lang w:val="en-US"/>
                </w:rPr>
                <w:t>http://www.un.org/esa/coordination/Consolidated.list</w:t>
              </w:r>
            </w:hyperlink>
            <w:hyperlink r:id="rId12">
              <w:r w:rsidR="00F2456E" w:rsidRPr="0009654A">
                <w:rPr>
                  <w:color w:val="0070C0"/>
                  <w:u w:val="single" w:color="A5A5A5"/>
                  <w:lang w:val="en-US"/>
                </w:rPr>
                <w:t>-</w:t>
              </w:r>
            </w:hyperlink>
            <w:hyperlink r:id="rId13">
              <w:r w:rsidR="00F2456E" w:rsidRPr="0009654A">
                <w:rPr>
                  <w:color w:val="0070C0"/>
                  <w:u w:val="single" w:color="A5A5A5"/>
                  <w:lang w:val="en-US"/>
                </w:rPr>
                <w:t>13FinalFinal.pdf</w:t>
              </w:r>
            </w:hyperlink>
            <w:hyperlink r:id="rId14">
              <w:r w:rsidR="00F2456E" w:rsidRPr="0009654A">
                <w:rPr>
                  <w:lang w:val="en-US"/>
                </w:rPr>
                <w:t xml:space="preserve"> </w:t>
              </w:r>
            </w:hyperlink>
          </w:p>
          <w:p w14:paraId="03ACD899" w14:textId="4A97CCF9" w:rsidR="00F2456E" w:rsidRPr="00B805E1" w:rsidRDefault="00B805E1" w:rsidP="00363513">
            <w:pPr>
              <w:spacing w:after="96" w:line="259" w:lineRule="auto"/>
              <w:ind w:left="358"/>
              <w:jc w:val="both"/>
              <w:rPr>
                <w:lang w:val="en-US"/>
              </w:rPr>
            </w:pPr>
            <w:r w:rsidRPr="00B805E1">
              <w:rPr>
                <w:lang w:val="en-US"/>
              </w:rPr>
              <w:t xml:space="preserve">CITES </w:t>
            </w:r>
            <w:r>
              <w:rPr>
                <w:lang w:val="en-US"/>
              </w:rPr>
              <w:t>L</w:t>
            </w:r>
            <w:r w:rsidRPr="00B805E1">
              <w:rPr>
                <w:lang w:val="en-US"/>
              </w:rPr>
              <w:t xml:space="preserve">ist of </w:t>
            </w:r>
            <w:r>
              <w:rPr>
                <w:lang w:val="en-US"/>
              </w:rPr>
              <w:t>E</w:t>
            </w:r>
            <w:r w:rsidRPr="00B805E1">
              <w:rPr>
                <w:lang w:val="en-US"/>
              </w:rPr>
              <w:t>ndangered</w:t>
            </w:r>
            <w:r>
              <w:rPr>
                <w:lang w:val="en-US"/>
              </w:rPr>
              <w:t xml:space="preserve"> S</w:t>
            </w:r>
            <w:r w:rsidRPr="00B805E1">
              <w:rPr>
                <w:lang w:val="en-US"/>
              </w:rPr>
              <w:t>pecies</w:t>
            </w:r>
            <w:r w:rsidR="00F2456E" w:rsidRPr="00B805E1">
              <w:rPr>
                <w:lang w:val="en-US"/>
              </w:rPr>
              <w:t xml:space="preserve">:  </w:t>
            </w:r>
          </w:p>
          <w:p w14:paraId="18FE08BA" w14:textId="77777777" w:rsidR="00F2456E" w:rsidRPr="00A75CB2" w:rsidRDefault="00F2456E" w:rsidP="00363513">
            <w:pPr>
              <w:spacing w:line="259" w:lineRule="auto"/>
              <w:ind w:left="358"/>
              <w:jc w:val="both"/>
              <w:rPr>
                <w:lang w:val="en-US"/>
              </w:rPr>
            </w:pPr>
            <w:hyperlink r:id="rId15">
              <w:r w:rsidRPr="00A75CB2">
                <w:rPr>
                  <w:color w:val="0070C0"/>
                  <w:u w:val="single" w:color="A5A5A5"/>
                  <w:lang w:val="en-US"/>
                </w:rPr>
                <w:t>http://www.cites.org/eng/app/E</w:t>
              </w:r>
            </w:hyperlink>
            <w:hyperlink r:id="rId16">
              <w:r w:rsidRPr="00A75CB2">
                <w:rPr>
                  <w:color w:val="0070C0"/>
                  <w:u w:val="single" w:color="A5A5A5"/>
                  <w:lang w:val="en-US"/>
                </w:rPr>
                <w:t>-</w:t>
              </w:r>
            </w:hyperlink>
            <w:hyperlink r:id="rId17">
              <w:r w:rsidRPr="00A75CB2">
                <w:rPr>
                  <w:color w:val="0070C0"/>
                  <w:u w:val="single" w:color="A5A5A5"/>
                  <w:lang w:val="en-US"/>
                </w:rPr>
                <w:t>Apr27.pdf</w:t>
              </w:r>
            </w:hyperlink>
            <w:hyperlink r:id="rId18">
              <w:r w:rsidRPr="00A75CB2">
                <w:rPr>
                  <w:color w:val="0070C0"/>
                  <w:lang w:val="en-US"/>
                </w:rPr>
                <w:t xml:space="preserve"> </w:t>
              </w:r>
            </w:hyperlink>
            <w:r w:rsidRPr="00A75CB2">
              <w:rPr>
                <w:color w:val="0070C0"/>
                <w:lang w:val="en-US"/>
              </w:rPr>
              <w:t xml:space="preserve"> </w:t>
            </w:r>
          </w:p>
        </w:tc>
      </w:tr>
      <w:tr w:rsidR="00F2456E" w:rsidRPr="00A75CB2" w14:paraId="30446681" w14:textId="77777777" w:rsidTr="00363513">
        <w:trPr>
          <w:trHeight w:val="790"/>
        </w:trPr>
        <w:tc>
          <w:tcPr>
            <w:tcW w:w="729" w:type="dxa"/>
            <w:tcBorders>
              <w:top w:val="single" w:sz="4" w:space="0" w:color="000000"/>
              <w:left w:val="single" w:sz="4" w:space="0" w:color="000000"/>
              <w:bottom w:val="single" w:sz="4" w:space="0" w:color="000000"/>
              <w:right w:val="single" w:sz="4" w:space="0" w:color="000000"/>
            </w:tcBorders>
          </w:tcPr>
          <w:p w14:paraId="2311207D" w14:textId="77777777" w:rsidR="00F2456E" w:rsidRDefault="00F2456E" w:rsidP="00363513">
            <w:pPr>
              <w:spacing w:line="259" w:lineRule="auto"/>
              <w:ind w:left="439"/>
            </w:pPr>
            <w:r>
              <w:t xml:space="preserve">2 </w:t>
            </w:r>
          </w:p>
        </w:tc>
        <w:tc>
          <w:tcPr>
            <w:tcW w:w="9188" w:type="dxa"/>
            <w:tcBorders>
              <w:top w:val="single" w:sz="4" w:space="0" w:color="000000"/>
              <w:left w:val="single" w:sz="4" w:space="0" w:color="000000"/>
              <w:bottom w:val="single" w:sz="4" w:space="0" w:color="000000"/>
              <w:right w:val="single" w:sz="4" w:space="0" w:color="000000"/>
            </w:tcBorders>
            <w:vAlign w:val="center"/>
          </w:tcPr>
          <w:p w14:paraId="631824B0" w14:textId="4B69645C" w:rsidR="00F2456E" w:rsidRPr="00530878" w:rsidRDefault="00DC3BF7" w:rsidP="00363513">
            <w:pPr>
              <w:spacing w:line="259" w:lineRule="auto"/>
              <w:jc w:val="both"/>
              <w:rPr>
                <w:lang w:val="en-US"/>
              </w:rPr>
            </w:pPr>
            <w:r w:rsidRPr="00DC3BF7">
              <w:rPr>
                <w:lang w:val="en-US"/>
              </w:rPr>
              <w:t>Transboundary movement of waste</w:t>
            </w:r>
            <w:r>
              <w:rPr>
                <w:lang w:val="en-US"/>
              </w:rPr>
              <w:t xml:space="preserve"> </w:t>
            </w:r>
            <w:r w:rsidR="00530878" w:rsidRPr="00530878">
              <w:rPr>
                <w:lang w:val="en-US"/>
              </w:rPr>
              <w:t xml:space="preserve">if </w:t>
            </w:r>
            <w:r w:rsidR="00530878">
              <w:rPr>
                <w:lang w:val="en-US"/>
              </w:rPr>
              <w:t>fails</w:t>
            </w:r>
            <w:r w:rsidR="00530878" w:rsidRPr="00530878">
              <w:rPr>
                <w:lang w:val="en-US"/>
              </w:rPr>
              <w:t xml:space="preserve"> </w:t>
            </w:r>
            <w:r w:rsidR="00530878">
              <w:rPr>
                <w:lang w:val="en-US"/>
              </w:rPr>
              <w:t>to</w:t>
            </w:r>
            <w:r w:rsidR="00530878" w:rsidRPr="00530878">
              <w:rPr>
                <w:lang w:val="en-US"/>
              </w:rPr>
              <w:t xml:space="preserve"> comply with the Basel Convention and its underlying regulations.</w:t>
            </w:r>
            <w:r w:rsidR="00F2456E" w:rsidRPr="00530878">
              <w:rPr>
                <w:lang w:val="en-US"/>
              </w:rPr>
              <w:t xml:space="preserve"> </w:t>
            </w:r>
          </w:p>
        </w:tc>
      </w:tr>
      <w:tr w:rsidR="00F2456E" w:rsidRPr="00A75CB2" w14:paraId="53AA9B66" w14:textId="77777777" w:rsidTr="00363513">
        <w:trPr>
          <w:trHeight w:val="787"/>
        </w:trPr>
        <w:tc>
          <w:tcPr>
            <w:tcW w:w="729" w:type="dxa"/>
            <w:tcBorders>
              <w:top w:val="single" w:sz="4" w:space="0" w:color="000000"/>
              <w:left w:val="single" w:sz="4" w:space="0" w:color="000000"/>
              <w:bottom w:val="single" w:sz="4" w:space="0" w:color="000000"/>
              <w:right w:val="single" w:sz="4" w:space="0" w:color="000000"/>
            </w:tcBorders>
          </w:tcPr>
          <w:p w14:paraId="4B1D3249" w14:textId="77777777" w:rsidR="00F2456E" w:rsidRDefault="00F2456E" w:rsidP="00363513">
            <w:pPr>
              <w:spacing w:line="259" w:lineRule="auto"/>
              <w:ind w:left="439"/>
            </w:pPr>
            <w:r>
              <w:t xml:space="preserve">3 </w:t>
            </w:r>
          </w:p>
        </w:tc>
        <w:tc>
          <w:tcPr>
            <w:tcW w:w="9188" w:type="dxa"/>
            <w:tcBorders>
              <w:top w:val="single" w:sz="4" w:space="0" w:color="000000"/>
              <w:left w:val="single" w:sz="4" w:space="0" w:color="000000"/>
              <w:bottom w:val="single" w:sz="4" w:space="0" w:color="000000"/>
              <w:right w:val="single" w:sz="4" w:space="0" w:color="000000"/>
            </w:tcBorders>
            <w:vAlign w:val="center"/>
          </w:tcPr>
          <w:p w14:paraId="3A1F090A" w14:textId="52F87F24" w:rsidR="00F2456E" w:rsidRPr="00DC3BF7" w:rsidRDefault="00530878" w:rsidP="00363513">
            <w:pPr>
              <w:spacing w:line="259" w:lineRule="auto"/>
              <w:jc w:val="both"/>
              <w:rPr>
                <w:lang w:val="en-US"/>
              </w:rPr>
            </w:pPr>
            <w:r>
              <w:rPr>
                <w:lang w:val="en-US"/>
              </w:rPr>
              <w:t>Activitie</w:t>
            </w:r>
            <w:r w:rsidRPr="00DC3BF7">
              <w:rPr>
                <w:lang w:val="en-US"/>
              </w:rPr>
              <w:t xml:space="preserve">s </w:t>
            </w:r>
            <w:r>
              <w:rPr>
                <w:lang w:val="en-US"/>
              </w:rPr>
              <w:t>threatening</w:t>
            </w:r>
            <w:r w:rsidRPr="00DC3BF7">
              <w:rPr>
                <w:lang w:val="en-US"/>
              </w:rPr>
              <w:t xml:space="preserve"> </w:t>
            </w:r>
            <w:r>
              <w:rPr>
                <w:lang w:val="en-US"/>
              </w:rPr>
              <w:t>the</w:t>
            </w:r>
            <w:r w:rsidRPr="00DC3BF7">
              <w:rPr>
                <w:lang w:val="en-US"/>
              </w:rPr>
              <w:t xml:space="preserve"> </w:t>
            </w:r>
            <w:r w:rsidR="00DC3BF7" w:rsidRPr="00DC3BF7">
              <w:rPr>
                <w:lang w:val="en-US"/>
              </w:rPr>
              <w:t>UNESCO-listed World Heritage Site</w:t>
            </w:r>
          </w:p>
        </w:tc>
      </w:tr>
      <w:tr w:rsidR="00F2456E" w:rsidRPr="00A75CB2" w14:paraId="06D303A7" w14:textId="77777777" w:rsidTr="00363513">
        <w:trPr>
          <w:trHeight w:val="1339"/>
        </w:trPr>
        <w:tc>
          <w:tcPr>
            <w:tcW w:w="729" w:type="dxa"/>
            <w:tcBorders>
              <w:top w:val="single" w:sz="4" w:space="0" w:color="000000"/>
              <w:left w:val="single" w:sz="4" w:space="0" w:color="000000"/>
              <w:bottom w:val="single" w:sz="4" w:space="0" w:color="000000"/>
              <w:right w:val="single" w:sz="4" w:space="0" w:color="000000"/>
            </w:tcBorders>
          </w:tcPr>
          <w:p w14:paraId="53187EEE" w14:textId="77777777" w:rsidR="00F2456E" w:rsidRDefault="00F2456E" w:rsidP="00363513">
            <w:pPr>
              <w:spacing w:line="259" w:lineRule="auto"/>
              <w:ind w:left="439"/>
            </w:pPr>
            <w:r>
              <w:t xml:space="preserve">4 </w:t>
            </w:r>
          </w:p>
        </w:tc>
        <w:tc>
          <w:tcPr>
            <w:tcW w:w="9188" w:type="dxa"/>
            <w:tcBorders>
              <w:top w:val="single" w:sz="4" w:space="0" w:color="000000"/>
              <w:left w:val="single" w:sz="4" w:space="0" w:color="000000"/>
              <w:bottom w:val="single" w:sz="4" w:space="0" w:color="000000"/>
              <w:right w:val="single" w:sz="4" w:space="0" w:color="000000"/>
            </w:tcBorders>
            <w:vAlign w:val="center"/>
          </w:tcPr>
          <w:p w14:paraId="6DCA595C" w14:textId="545E6F72" w:rsidR="00F2456E" w:rsidRPr="00A75CB2" w:rsidRDefault="00530878" w:rsidP="00363513">
            <w:pPr>
              <w:spacing w:line="259" w:lineRule="auto"/>
              <w:ind w:right="63"/>
              <w:jc w:val="both"/>
              <w:rPr>
                <w:lang w:val="en-US"/>
              </w:rPr>
            </w:pPr>
            <w:r w:rsidRPr="00530878">
              <w:rPr>
                <w:lang w:val="en-US"/>
              </w:rPr>
              <w:t xml:space="preserve">Illegal logging and timber harvesting or </w:t>
            </w:r>
            <w:r>
              <w:rPr>
                <w:lang w:val="en-US"/>
              </w:rPr>
              <w:t xml:space="preserve">land </w:t>
            </w:r>
            <w:r w:rsidRPr="00530878">
              <w:rPr>
                <w:lang w:val="en-US"/>
              </w:rPr>
              <w:t xml:space="preserve">conversion </w:t>
            </w:r>
            <w:r>
              <w:rPr>
                <w:lang w:val="en-US"/>
              </w:rPr>
              <w:t>to</w:t>
            </w:r>
            <w:r w:rsidRPr="00530878">
              <w:rPr>
                <w:lang w:val="en-US"/>
              </w:rPr>
              <w:t xml:space="preserve"> use as cropland or pastureland; production or trade in timber or other forest products, except for </w:t>
            </w:r>
            <w:r w:rsidRPr="00530878">
              <w:rPr>
                <w:b/>
                <w:bCs/>
                <w:lang w:val="en-US"/>
              </w:rPr>
              <w:t>sustainable forestry</w:t>
            </w:r>
            <w:r w:rsidRPr="00530878">
              <w:rPr>
                <w:lang w:val="en-US"/>
              </w:rPr>
              <w:t>.</w:t>
            </w:r>
            <w:r>
              <w:rPr>
                <w:lang w:val="en-US"/>
              </w:rPr>
              <w:t xml:space="preserve"> </w:t>
            </w:r>
          </w:p>
        </w:tc>
      </w:tr>
      <w:tr w:rsidR="00F2456E" w:rsidRPr="00A75CB2" w14:paraId="710F759E" w14:textId="77777777" w:rsidTr="00363513">
        <w:trPr>
          <w:trHeight w:val="790"/>
        </w:trPr>
        <w:tc>
          <w:tcPr>
            <w:tcW w:w="729" w:type="dxa"/>
            <w:tcBorders>
              <w:top w:val="single" w:sz="4" w:space="0" w:color="000000"/>
              <w:left w:val="single" w:sz="4" w:space="0" w:color="000000"/>
              <w:bottom w:val="single" w:sz="4" w:space="0" w:color="000000"/>
              <w:right w:val="single" w:sz="4" w:space="0" w:color="000000"/>
            </w:tcBorders>
          </w:tcPr>
          <w:p w14:paraId="683FE06D" w14:textId="77777777" w:rsidR="00F2456E" w:rsidRDefault="00F2456E" w:rsidP="00363513">
            <w:pPr>
              <w:spacing w:line="259" w:lineRule="auto"/>
              <w:ind w:left="439"/>
            </w:pPr>
            <w:r>
              <w:t xml:space="preserve">5 </w:t>
            </w:r>
          </w:p>
        </w:tc>
        <w:tc>
          <w:tcPr>
            <w:tcW w:w="9188" w:type="dxa"/>
            <w:tcBorders>
              <w:top w:val="single" w:sz="4" w:space="0" w:color="000000"/>
              <w:left w:val="single" w:sz="4" w:space="0" w:color="000000"/>
              <w:bottom w:val="single" w:sz="4" w:space="0" w:color="000000"/>
              <w:right w:val="single" w:sz="4" w:space="0" w:color="000000"/>
            </w:tcBorders>
            <w:vAlign w:val="center"/>
          </w:tcPr>
          <w:p w14:paraId="7591AFBA" w14:textId="2A4389A5" w:rsidR="00F2456E" w:rsidRPr="00530878" w:rsidRDefault="00530878" w:rsidP="00363513">
            <w:pPr>
              <w:spacing w:line="259" w:lineRule="auto"/>
              <w:jc w:val="both"/>
              <w:rPr>
                <w:lang w:val="en-US"/>
              </w:rPr>
            </w:pPr>
            <w:r w:rsidRPr="00530878">
              <w:rPr>
                <w:lang w:val="en-US"/>
              </w:rPr>
              <w:t xml:space="preserve">Production or activities involving harmful or </w:t>
            </w:r>
            <w:r w:rsidRPr="00530878">
              <w:rPr>
                <w:b/>
                <w:bCs/>
                <w:lang w:val="en-US"/>
              </w:rPr>
              <w:t>forced labor or child labor</w:t>
            </w:r>
            <w:r w:rsidRPr="00530878">
              <w:rPr>
                <w:lang w:val="en-US"/>
              </w:rPr>
              <w:t>.</w:t>
            </w:r>
            <w:r w:rsidR="00F2456E" w:rsidRPr="00530878">
              <w:rPr>
                <w:lang w:val="en-US"/>
              </w:rPr>
              <w:t xml:space="preserve"> </w:t>
            </w:r>
          </w:p>
        </w:tc>
      </w:tr>
      <w:tr w:rsidR="00F2456E" w:rsidRPr="00A75CB2" w14:paraId="1EC3CF40" w14:textId="77777777" w:rsidTr="00363513">
        <w:trPr>
          <w:trHeight w:val="2924"/>
        </w:trPr>
        <w:tc>
          <w:tcPr>
            <w:tcW w:w="729" w:type="dxa"/>
            <w:tcBorders>
              <w:top w:val="single" w:sz="4" w:space="0" w:color="000000"/>
              <w:left w:val="single" w:sz="4" w:space="0" w:color="000000"/>
              <w:bottom w:val="single" w:sz="4" w:space="0" w:color="000000"/>
              <w:right w:val="single" w:sz="4" w:space="0" w:color="000000"/>
            </w:tcBorders>
          </w:tcPr>
          <w:p w14:paraId="792022C2" w14:textId="77777777" w:rsidR="00F2456E" w:rsidRDefault="00F2456E" w:rsidP="00363513">
            <w:pPr>
              <w:spacing w:line="259" w:lineRule="auto"/>
              <w:ind w:left="439"/>
            </w:pPr>
            <w:r>
              <w:t xml:space="preserve">6 </w:t>
            </w:r>
          </w:p>
        </w:tc>
        <w:tc>
          <w:tcPr>
            <w:tcW w:w="9188" w:type="dxa"/>
            <w:tcBorders>
              <w:top w:val="single" w:sz="4" w:space="0" w:color="000000"/>
              <w:left w:val="single" w:sz="4" w:space="0" w:color="000000"/>
              <w:bottom w:val="single" w:sz="4" w:space="0" w:color="000000"/>
              <w:right w:val="single" w:sz="4" w:space="0" w:color="000000"/>
            </w:tcBorders>
            <w:vAlign w:val="center"/>
          </w:tcPr>
          <w:p w14:paraId="60E27020" w14:textId="65E3A86B" w:rsidR="00F2456E" w:rsidRPr="00DC3BF7" w:rsidRDefault="00DC3BF7" w:rsidP="00363513">
            <w:pPr>
              <w:numPr>
                <w:ilvl w:val="0"/>
                <w:numId w:val="20"/>
              </w:numPr>
              <w:spacing w:after="145" w:line="259" w:lineRule="auto"/>
              <w:ind w:left="280" w:hanging="280"/>
              <w:jc w:val="both"/>
              <w:rPr>
                <w:lang w:val="en-US"/>
              </w:rPr>
            </w:pPr>
            <w:r w:rsidRPr="00DC3BF7">
              <w:rPr>
                <w:lang w:val="en-US"/>
              </w:rPr>
              <w:t xml:space="preserve">Manufacture or trade </w:t>
            </w:r>
            <w:r>
              <w:rPr>
                <w:lang w:val="en-US"/>
              </w:rPr>
              <w:t xml:space="preserve">of weapons </w:t>
            </w:r>
            <w:r w:rsidRPr="00DC3BF7">
              <w:rPr>
                <w:lang w:val="en-US"/>
              </w:rPr>
              <w:t>and military equipment</w:t>
            </w:r>
            <w:r w:rsidR="00F2456E" w:rsidRPr="00DC3BF7">
              <w:rPr>
                <w:lang w:val="en-US"/>
              </w:rPr>
              <w:t xml:space="preserve"> </w:t>
            </w:r>
          </w:p>
          <w:p w14:paraId="69F45B02" w14:textId="7C3FBDC1" w:rsidR="00F2456E" w:rsidRPr="00DC3BF7" w:rsidRDefault="00DC3BF7" w:rsidP="00363513">
            <w:pPr>
              <w:numPr>
                <w:ilvl w:val="0"/>
                <w:numId w:val="20"/>
              </w:numPr>
              <w:spacing w:after="122" w:line="279" w:lineRule="auto"/>
              <w:ind w:left="280" w:hanging="280"/>
              <w:jc w:val="both"/>
              <w:rPr>
                <w:lang w:val="en-US"/>
              </w:rPr>
            </w:pPr>
            <w:r w:rsidRPr="00DC3BF7">
              <w:rPr>
                <w:lang w:val="en-US"/>
              </w:rPr>
              <w:t xml:space="preserve">Production of tobacco products in the absence of appropriate permits and licenses </w:t>
            </w:r>
            <w:r>
              <w:rPr>
                <w:lang w:val="en-US"/>
              </w:rPr>
              <w:t xml:space="preserve">as </w:t>
            </w:r>
            <w:r w:rsidRPr="00DC3BF7">
              <w:rPr>
                <w:lang w:val="en-US"/>
              </w:rPr>
              <w:t>required under the laws of the Republic of Kazakhstan</w:t>
            </w:r>
            <w:r w:rsidR="00F2456E" w:rsidRPr="00DC3BF7">
              <w:rPr>
                <w:lang w:val="en-US"/>
              </w:rPr>
              <w:t xml:space="preserve">  </w:t>
            </w:r>
          </w:p>
          <w:p w14:paraId="5E543E55" w14:textId="271B9A26" w:rsidR="00F2456E" w:rsidRPr="00DC3BF7" w:rsidRDefault="00DC3BF7" w:rsidP="00363513">
            <w:pPr>
              <w:numPr>
                <w:ilvl w:val="0"/>
                <w:numId w:val="20"/>
              </w:numPr>
              <w:spacing w:after="95" w:line="300" w:lineRule="auto"/>
              <w:ind w:left="280" w:hanging="280"/>
              <w:jc w:val="both"/>
              <w:rPr>
                <w:lang w:val="en-US"/>
              </w:rPr>
            </w:pPr>
            <w:r w:rsidRPr="00DC3BF7">
              <w:rPr>
                <w:lang w:val="en-US"/>
              </w:rPr>
              <w:t xml:space="preserve">Production and distribution of racist and/or </w:t>
            </w:r>
            <w:r>
              <w:rPr>
                <w:lang w:val="en-US"/>
              </w:rPr>
              <w:t>N</w:t>
            </w:r>
            <w:r w:rsidRPr="00DC3BF7">
              <w:rPr>
                <w:lang w:val="en-US"/>
              </w:rPr>
              <w:t xml:space="preserve">eo-Nazi media </w:t>
            </w:r>
            <w:r w:rsidR="00F2456E" w:rsidRPr="00DC3BF7">
              <w:rPr>
                <w:lang w:val="en-US"/>
              </w:rPr>
              <w:t xml:space="preserve"> </w:t>
            </w:r>
          </w:p>
          <w:p w14:paraId="60E81E37" w14:textId="7CD7E0DE" w:rsidR="00F2456E" w:rsidRPr="00647DD4" w:rsidRDefault="00647DD4" w:rsidP="00363513">
            <w:pPr>
              <w:numPr>
                <w:ilvl w:val="0"/>
                <w:numId w:val="20"/>
              </w:numPr>
              <w:spacing w:after="95" w:line="300" w:lineRule="auto"/>
              <w:ind w:left="280" w:hanging="280"/>
              <w:jc w:val="both"/>
              <w:rPr>
                <w:lang w:val="en-US"/>
              </w:rPr>
            </w:pPr>
            <w:r w:rsidRPr="00647DD4">
              <w:rPr>
                <w:lang w:val="en-US"/>
              </w:rPr>
              <w:t>Gambling</w:t>
            </w:r>
            <w:r>
              <w:rPr>
                <w:lang w:val="en-US"/>
              </w:rPr>
              <w:t xml:space="preserve"> business</w:t>
            </w:r>
            <w:r w:rsidRPr="00647DD4">
              <w:rPr>
                <w:lang w:val="en-US"/>
              </w:rPr>
              <w:t xml:space="preserve">, gambling, casino or similar enterprises in the absence of appropriate permits and licenses </w:t>
            </w:r>
            <w:r>
              <w:rPr>
                <w:lang w:val="en-US"/>
              </w:rPr>
              <w:t xml:space="preserve">as </w:t>
            </w:r>
            <w:r w:rsidRPr="00647DD4">
              <w:rPr>
                <w:lang w:val="en-US"/>
              </w:rPr>
              <w:t>required under the laws of the Republic of Kazakhstan</w:t>
            </w:r>
            <w:r>
              <w:rPr>
                <w:lang w:val="en-US"/>
              </w:rPr>
              <w:t xml:space="preserve"> </w:t>
            </w:r>
            <w:r w:rsidR="00F2456E" w:rsidRPr="00647DD4">
              <w:rPr>
                <w:lang w:val="en-US"/>
              </w:rPr>
              <w:t xml:space="preserve">  </w:t>
            </w:r>
          </w:p>
          <w:p w14:paraId="43DC0DEE" w14:textId="2D247D48" w:rsidR="00F2456E" w:rsidRPr="00403560" w:rsidRDefault="00647DD4" w:rsidP="00363513">
            <w:pPr>
              <w:pStyle w:val="a7"/>
              <w:numPr>
                <w:ilvl w:val="0"/>
                <w:numId w:val="20"/>
              </w:numPr>
              <w:ind w:left="280" w:hanging="280"/>
              <w:jc w:val="both"/>
            </w:pPr>
            <w:r w:rsidRPr="00647DD4">
              <w:t xml:space="preserve">Pornography (goods or stores) </w:t>
            </w:r>
            <w:r w:rsidR="00F2456E" w:rsidRPr="00403560">
              <w:t xml:space="preserve"> </w:t>
            </w:r>
          </w:p>
          <w:p w14:paraId="6C0F3727" w14:textId="6978D687" w:rsidR="00F2456E" w:rsidRPr="00A75CB2" w:rsidRDefault="00647DD4" w:rsidP="00363513">
            <w:pPr>
              <w:pStyle w:val="a7"/>
              <w:numPr>
                <w:ilvl w:val="0"/>
                <w:numId w:val="20"/>
              </w:numPr>
              <w:ind w:left="280" w:hanging="280"/>
              <w:jc w:val="both"/>
              <w:rPr>
                <w:lang w:val="en-US"/>
              </w:rPr>
            </w:pPr>
            <w:r w:rsidRPr="00647DD4">
              <w:rPr>
                <w:lang w:val="en-US"/>
              </w:rPr>
              <w:t xml:space="preserve">Production of alcoholic beverages in the absence of appropriate permits and licenses </w:t>
            </w:r>
            <w:r>
              <w:rPr>
                <w:lang w:val="en-US"/>
              </w:rPr>
              <w:t xml:space="preserve">as </w:t>
            </w:r>
            <w:r w:rsidRPr="00647DD4">
              <w:rPr>
                <w:lang w:val="en-US"/>
              </w:rPr>
              <w:t>required under the laws of the Republic of Kazakhstan.</w:t>
            </w:r>
            <w:r>
              <w:rPr>
                <w:lang w:val="en-US"/>
              </w:rPr>
              <w:t xml:space="preserve"> </w:t>
            </w:r>
          </w:p>
        </w:tc>
      </w:tr>
      <w:tr w:rsidR="00F2456E" w:rsidRPr="00A75CB2" w14:paraId="630A594D" w14:textId="77777777" w:rsidTr="00363513">
        <w:trPr>
          <w:trHeight w:val="1063"/>
        </w:trPr>
        <w:tc>
          <w:tcPr>
            <w:tcW w:w="729" w:type="dxa"/>
            <w:tcBorders>
              <w:top w:val="single" w:sz="4" w:space="0" w:color="000000"/>
              <w:left w:val="single" w:sz="4" w:space="0" w:color="000000"/>
              <w:bottom w:val="single" w:sz="4" w:space="0" w:color="000000"/>
              <w:right w:val="single" w:sz="4" w:space="0" w:color="000000"/>
            </w:tcBorders>
          </w:tcPr>
          <w:p w14:paraId="58F29C4C" w14:textId="77777777" w:rsidR="00F2456E" w:rsidRDefault="00F2456E" w:rsidP="00363513">
            <w:pPr>
              <w:spacing w:line="259" w:lineRule="auto"/>
              <w:ind w:left="439"/>
            </w:pPr>
            <w:r>
              <w:t xml:space="preserve">7 </w:t>
            </w:r>
          </w:p>
        </w:tc>
        <w:tc>
          <w:tcPr>
            <w:tcW w:w="9188" w:type="dxa"/>
            <w:tcBorders>
              <w:top w:val="single" w:sz="4" w:space="0" w:color="000000"/>
              <w:left w:val="single" w:sz="4" w:space="0" w:color="000000"/>
              <w:bottom w:val="single" w:sz="4" w:space="0" w:color="000000"/>
              <w:right w:val="single" w:sz="4" w:space="0" w:color="000000"/>
            </w:tcBorders>
            <w:vAlign w:val="center"/>
          </w:tcPr>
          <w:p w14:paraId="6E62E57A" w14:textId="058E6DC4" w:rsidR="00F2456E" w:rsidRPr="00A75CB2" w:rsidRDefault="00647DD4" w:rsidP="00363513">
            <w:pPr>
              <w:spacing w:line="259" w:lineRule="auto"/>
              <w:ind w:right="68"/>
              <w:jc w:val="both"/>
              <w:rPr>
                <w:lang w:val="en-US"/>
              </w:rPr>
            </w:pPr>
            <w:r w:rsidRPr="00647DD4">
              <w:rPr>
                <w:lang w:val="en-US"/>
              </w:rPr>
              <w:t>Production or activities adversely affecting land</w:t>
            </w:r>
            <w:r>
              <w:rPr>
                <w:lang w:val="en-US"/>
              </w:rPr>
              <w:t>s</w:t>
            </w:r>
            <w:r w:rsidRPr="00647DD4">
              <w:rPr>
                <w:lang w:val="en-US"/>
              </w:rPr>
              <w:t xml:space="preserve"> owned or judicially claimed by the local community without the full documented consent of the local community.</w:t>
            </w:r>
            <w:r>
              <w:rPr>
                <w:lang w:val="en-US"/>
              </w:rPr>
              <w:t xml:space="preserve"> </w:t>
            </w:r>
          </w:p>
        </w:tc>
      </w:tr>
      <w:tr w:rsidR="00F2456E" w:rsidRPr="00A75CB2" w14:paraId="49DBFDEB" w14:textId="77777777" w:rsidTr="00363513">
        <w:trPr>
          <w:trHeight w:val="1073"/>
        </w:trPr>
        <w:tc>
          <w:tcPr>
            <w:tcW w:w="729" w:type="dxa"/>
            <w:tcBorders>
              <w:top w:val="single" w:sz="4" w:space="0" w:color="000000"/>
              <w:left w:val="single" w:sz="4" w:space="0" w:color="000000"/>
              <w:bottom w:val="single" w:sz="4" w:space="0" w:color="000000"/>
              <w:right w:val="single" w:sz="4" w:space="0" w:color="000000"/>
            </w:tcBorders>
          </w:tcPr>
          <w:p w14:paraId="1F10D30A" w14:textId="77777777" w:rsidR="00F2456E" w:rsidRDefault="00F2456E" w:rsidP="00363513">
            <w:pPr>
              <w:spacing w:line="259" w:lineRule="auto"/>
              <w:ind w:left="439"/>
            </w:pPr>
            <w:r>
              <w:lastRenderedPageBreak/>
              <w:t xml:space="preserve">8 </w:t>
            </w:r>
          </w:p>
        </w:tc>
        <w:tc>
          <w:tcPr>
            <w:tcW w:w="9188" w:type="dxa"/>
            <w:tcBorders>
              <w:top w:val="single" w:sz="4" w:space="0" w:color="000000"/>
              <w:left w:val="single" w:sz="4" w:space="0" w:color="000000"/>
              <w:bottom w:val="single" w:sz="4" w:space="0" w:color="000000"/>
              <w:right w:val="single" w:sz="4" w:space="0" w:color="000000"/>
            </w:tcBorders>
            <w:vAlign w:val="center"/>
          </w:tcPr>
          <w:p w14:paraId="637CE7F8" w14:textId="3944E438" w:rsidR="00F2456E" w:rsidRPr="005D6D54" w:rsidRDefault="0005632C" w:rsidP="00363513">
            <w:pPr>
              <w:spacing w:line="259" w:lineRule="auto"/>
              <w:ind w:right="61"/>
              <w:jc w:val="both"/>
              <w:rPr>
                <w:lang w:val="en-US"/>
              </w:rPr>
            </w:pPr>
            <w:r w:rsidRPr="0005632C">
              <w:rPr>
                <w:lang w:val="en-US"/>
              </w:rPr>
              <w:t xml:space="preserve">Manufacture or trade </w:t>
            </w:r>
            <w:r>
              <w:rPr>
                <w:lang w:val="en-US"/>
              </w:rPr>
              <w:t>of</w:t>
            </w:r>
            <w:r w:rsidRPr="0005632C">
              <w:rPr>
                <w:lang w:val="en-US"/>
              </w:rPr>
              <w:t xml:space="preserve"> un</w:t>
            </w:r>
            <w:r w:rsidR="005D6D54">
              <w:rPr>
                <w:lang w:val="en-US"/>
              </w:rPr>
              <w:t>bonded</w:t>
            </w:r>
            <w:r w:rsidRPr="0005632C">
              <w:rPr>
                <w:lang w:val="en-US"/>
              </w:rPr>
              <w:t xml:space="preserve"> asbestos fibers; this</w:t>
            </w:r>
            <w:r>
              <w:rPr>
                <w:lang w:val="en-US"/>
              </w:rPr>
              <w:t xml:space="preserve"> </w:t>
            </w:r>
            <w:r w:rsidR="005D6D54">
              <w:rPr>
                <w:lang w:val="en-US"/>
              </w:rPr>
              <w:t>is not applicable to</w:t>
            </w:r>
            <w:r w:rsidRPr="0005632C">
              <w:rPr>
                <w:lang w:val="en-US"/>
              </w:rPr>
              <w:t xml:space="preserve"> </w:t>
            </w:r>
            <w:r w:rsidR="005D6D54">
              <w:rPr>
                <w:lang w:val="en-US"/>
              </w:rPr>
              <w:t xml:space="preserve">the </w:t>
            </w:r>
            <w:r w:rsidRPr="0005632C">
              <w:rPr>
                <w:lang w:val="en-US"/>
              </w:rPr>
              <w:t>purchase and use of bo</w:t>
            </w:r>
            <w:r w:rsidR="005D6D54">
              <w:rPr>
                <w:lang w:val="en-US"/>
              </w:rPr>
              <w:t xml:space="preserve">nded </w:t>
            </w:r>
            <w:r w:rsidRPr="0005632C">
              <w:rPr>
                <w:lang w:val="en-US"/>
              </w:rPr>
              <w:t xml:space="preserve">asbestos cement sheets </w:t>
            </w:r>
            <w:r w:rsidR="005D6D54">
              <w:rPr>
                <w:lang w:val="en-US"/>
              </w:rPr>
              <w:t>containing at least</w:t>
            </w:r>
            <w:r w:rsidRPr="0005632C">
              <w:rPr>
                <w:lang w:val="en-US"/>
              </w:rPr>
              <w:t xml:space="preserve"> 20%</w:t>
            </w:r>
            <w:r w:rsidR="005D6D54">
              <w:rPr>
                <w:lang w:val="en-US"/>
              </w:rPr>
              <w:t xml:space="preserve"> of</w:t>
            </w:r>
            <w:r w:rsidRPr="0005632C">
              <w:rPr>
                <w:lang w:val="en-US"/>
              </w:rPr>
              <w:t xml:space="preserve"> asbestos</w:t>
            </w:r>
            <w:r w:rsidR="005D6D54">
              <w:rPr>
                <w:lang w:val="en-US"/>
              </w:rPr>
              <w:t>.</w:t>
            </w:r>
          </w:p>
        </w:tc>
      </w:tr>
      <w:tr w:rsidR="00F2456E" w:rsidRPr="00A75CB2" w14:paraId="550CCA9E" w14:textId="77777777" w:rsidTr="00363513">
        <w:trPr>
          <w:trHeight w:val="2023"/>
        </w:trPr>
        <w:tc>
          <w:tcPr>
            <w:tcW w:w="729" w:type="dxa"/>
            <w:tcBorders>
              <w:top w:val="single" w:sz="4" w:space="0" w:color="000000"/>
              <w:left w:val="single" w:sz="4" w:space="0" w:color="000000"/>
              <w:bottom w:val="single" w:sz="4" w:space="0" w:color="000000"/>
              <w:right w:val="single" w:sz="4" w:space="0" w:color="000000"/>
            </w:tcBorders>
          </w:tcPr>
          <w:p w14:paraId="17A8FEA2" w14:textId="77777777" w:rsidR="00F2456E" w:rsidRDefault="00F2456E" w:rsidP="00363513">
            <w:pPr>
              <w:spacing w:line="259" w:lineRule="auto"/>
              <w:ind w:left="439"/>
            </w:pPr>
            <w:r>
              <w:t xml:space="preserve">9 </w:t>
            </w:r>
          </w:p>
        </w:tc>
        <w:tc>
          <w:tcPr>
            <w:tcW w:w="9188" w:type="dxa"/>
            <w:tcBorders>
              <w:top w:val="single" w:sz="4" w:space="0" w:color="000000"/>
              <w:left w:val="single" w:sz="4" w:space="0" w:color="000000"/>
              <w:bottom w:val="single" w:sz="4" w:space="0" w:color="000000"/>
              <w:right w:val="single" w:sz="4" w:space="0" w:color="000000"/>
            </w:tcBorders>
            <w:vAlign w:val="center"/>
          </w:tcPr>
          <w:p w14:paraId="493D53A9" w14:textId="51021D42" w:rsidR="00F2456E" w:rsidRPr="005D6D54" w:rsidRDefault="005D6D54" w:rsidP="00363513">
            <w:pPr>
              <w:spacing w:after="97" w:line="258" w:lineRule="auto"/>
              <w:ind w:right="63"/>
              <w:jc w:val="both"/>
              <w:rPr>
                <w:lang w:val="en-US"/>
              </w:rPr>
            </w:pPr>
            <w:r w:rsidRPr="005D6D54">
              <w:rPr>
                <w:lang w:val="en-US"/>
              </w:rPr>
              <w:t xml:space="preserve">Production or trade of radioactive materials in the absence of appropriate permits and licenses </w:t>
            </w:r>
            <w:r>
              <w:rPr>
                <w:lang w:val="en-US"/>
              </w:rPr>
              <w:t>as</w:t>
            </w:r>
            <w:r w:rsidRPr="005D6D54">
              <w:rPr>
                <w:lang w:val="en-US"/>
              </w:rPr>
              <w:t xml:space="preserve"> required by the l</w:t>
            </w:r>
            <w:r>
              <w:rPr>
                <w:lang w:val="en-US"/>
              </w:rPr>
              <w:t>aws</w:t>
            </w:r>
            <w:r w:rsidRPr="005D6D54">
              <w:rPr>
                <w:lang w:val="en-US"/>
              </w:rPr>
              <w:t xml:space="preserve"> of the Republic of Kazakhstan</w:t>
            </w:r>
            <w:r w:rsidR="00F2456E" w:rsidRPr="005D6D54">
              <w:rPr>
                <w:lang w:val="en-US"/>
              </w:rPr>
              <w:t xml:space="preserve">. </w:t>
            </w:r>
          </w:p>
          <w:p w14:paraId="50BF46D2" w14:textId="6ED37705" w:rsidR="00F2456E" w:rsidRPr="005D6D54" w:rsidRDefault="005D6D54" w:rsidP="00363513">
            <w:pPr>
              <w:spacing w:line="259" w:lineRule="auto"/>
              <w:ind w:left="360" w:right="65"/>
              <w:jc w:val="both"/>
              <w:rPr>
                <w:lang w:val="en-US"/>
              </w:rPr>
            </w:pPr>
            <w:r>
              <w:rPr>
                <w:i/>
                <w:lang w:val="en-US"/>
              </w:rPr>
              <w:t xml:space="preserve">This is </w:t>
            </w:r>
            <w:r w:rsidRPr="005D6D54">
              <w:rPr>
                <w:i/>
                <w:lang w:val="en-US"/>
              </w:rPr>
              <w:t>not appl</w:t>
            </w:r>
            <w:r>
              <w:rPr>
                <w:i/>
                <w:lang w:val="en-US"/>
              </w:rPr>
              <w:t>icable to</w:t>
            </w:r>
            <w:r w:rsidRPr="005D6D54">
              <w:rPr>
                <w:i/>
                <w:lang w:val="en-US"/>
              </w:rPr>
              <w:t xml:space="preserve"> the purchase of medical equipment, quality control (measurement) equipment and any equipment </w:t>
            </w:r>
            <w:r>
              <w:rPr>
                <w:i/>
                <w:lang w:val="en-US"/>
              </w:rPr>
              <w:t xml:space="preserve">where </w:t>
            </w:r>
            <w:r w:rsidRPr="005D6D54">
              <w:rPr>
                <w:i/>
                <w:lang w:val="en-US"/>
              </w:rPr>
              <w:t>the radioactive source is insignificant or adequately protected</w:t>
            </w:r>
            <w:r w:rsidR="00F2456E" w:rsidRPr="005D6D54">
              <w:rPr>
                <w:i/>
                <w:lang w:val="en-US"/>
              </w:rPr>
              <w:t xml:space="preserve">. </w:t>
            </w:r>
          </w:p>
        </w:tc>
      </w:tr>
      <w:tr w:rsidR="00F2456E" w:rsidRPr="00A75CB2" w14:paraId="2A75A0A2" w14:textId="77777777" w:rsidTr="00363513">
        <w:trPr>
          <w:trHeight w:val="1349"/>
        </w:trPr>
        <w:tc>
          <w:tcPr>
            <w:tcW w:w="729" w:type="dxa"/>
            <w:tcBorders>
              <w:top w:val="single" w:sz="4" w:space="0" w:color="000000"/>
              <w:left w:val="single" w:sz="4" w:space="0" w:color="000000"/>
              <w:bottom w:val="single" w:sz="4" w:space="0" w:color="000000"/>
              <w:right w:val="single" w:sz="4" w:space="0" w:color="000000"/>
            </w:tcBorders>
          </w:tcPr>
          <w:p w14:paraId="66C5F18D" w14:textId="77777777" w:rsidR="00F2456E" w:rsidRDefault="00F2456E" w:rsidP="00363513">
            <w:pPr>
              <w:spacing w:line="259" w:lineRule="auto"/>
              <w:ind w:right="84"/>
              <w:jc w:val="right"/>
            </w:pPr>
            <w:r>
              <w:t xml:space="preserve">10 </w:t>
            </w:r>
          </w:p>
        </w:tc>
        <w:tc>
          <w:tcPr>
            <w:tcW w:w="9188" w:type="dxa"/>
            <w:tcBorders>
              <w:top w:val="single" w:sz="4" w:space="0" w:color="000000"/>
              <w:left w:val="single" w:sz="4" w:space="0" w:color="000000"/>
              <w:bottom w:val="single" w:sz="4" w:space="0" w:color="000000"/>
              <w:right w:val="single" w:sz="4" w:space="0" w:color="000000"/>
            </w:tcBorders>
            <w:vAlign w:val="center"/>
          </w:tcPr>
          <w:p w14:paraId="52D0AC7A" w14:textId="47F6C727" w:rsidR="00F2456E" w:rsidRPr="00A75CB2" w:rsidRDefault="00602183" w:rsidP="00363513">
            <w:pPr>
              <w:spacing w:line="259" w:lineRule="auto"/>
              <w:ind w:right="60"/>
              <w:jc w:val="both"/>
              <w:rPr>
                <w:lang w:val="en-US"/>
              </w:rPr>
            </w:pPr>
            <w:r w:rsidRPr="00A75CB2">
              <w:rPr>
                <w:lang w:val="en-US"/>
              </w:rPr>
              <w:t xml:space="preserve">Trade in goods without the necessary export or import licenses or other evidence of transit </w:t>
            </w:r>
            <w:r w:rsidR="007C60E6">
              <w:rPr>
                <w:lang w:val="en-US"/>
              </w:rPr>
              <w:t>authorizations</w:t>
            </w:r>
            <w:r w:rsidRPr="00A75CB2">
              <w:rPr>
                <w:lang w:val="en-US"/>
              </w:rPr>
              <w:t xml:space="preserve"> from the relevant countries of export, import and, if applicable, transit in the absence of appropriate permits and licenses </w:t>
            </w:r>
            <w:r w:rsidR="007C60E6">
              <w:rPr>
                <w:lang w:val="en-US"/>
              </w:rPr>
              <w:t>as</w:t>
            </w:r>
            <w:r w:rsidR="007C60E6" w:rsidRPr="00A75CB2">
              <w:rPr>
                <w:lang w:val="en-US"/>
              </w:rPr>
              <w:t xml:space="preserve"> </w:t>
            </w:r>
            <w:r w:rsidRPr="00A75CB2">
              <w:rPr>
                <w:lang w:val="en-US"/>
              </w:rPr>
              <w:t xml:space="preserve">required </w:t>
            </w:r>
            <w:r w:rsidR="007C60E6">
              <w:rPr>
                <w:lang w:val="en-US"/>
              </w:rPr>
              <w:t>by</w:t>
            </w:r>
            <w:r w:rsidRPr="00A75CB2">
              <w:rPr>
                <w:lang w:val="en-US"/>
              </w:rPr>
              <w:t xml:space="preserve"> the l</w:t>
            </w:r>
            <w:r w:rsidR="007C60E6">
              <w:rPr>
                <w:lang w:val="en-US"/>
              </w:rPr>
              <w:t>aws</w:t>
            </w:r>
            <w:r w:rsidRPr="00A75CB2">
              <w:rPr>
                <w:lang w:val="en-US"/>
              </w:rPr>
              <w:t xml:space="preserve"> of the Republic of Kazakhstan  </w:t>
            </w:r>
          </w:p>
        </w:tc>
      </w:tr>
      <w:tr w:rsidR="00F2456E" w:rsidRPr="00A75CB2" w14:paraId="42AAB13E" w14:textId="77777777" w:rsidTr="00363513">
        <w:trPr>
          <w:trHeight w:val="799"/>
        </w:trPr>
        <w:tc>
          <w:tcPr>
            <w:tcW w:w="729" w:type="dxa"/>
            <w:tcBorders>
              <w:top w:val="single" w:sz="4" w:space="0" w:color="000000"/>
              <w:left w:val="single" w:sz="4" w:space="0" w:color="000000"/>
              <w:bottom w:val="single" w:sz="4" w:space="0" w:color="000000"/>
              <w:right w:val="single" w:sz="4" w:space="0" w:color="000000"/>
            </w:tcBorders>
          </w:tcPr>
          <w:p w14:paraId="7DA0384C" w14:textId="77777777" w:rsidR="00F2456E" w:rsidRDefault="00F2456E" w:rsidP="00363513">
            <w:pPr>
              <w:spacing w:line="259" w:lineRule="auto"/>
              <w:ind w:right="84"/>
              <w:jc w:val="right"/>
            </w:pPr>
            <w:r>
              <w:t xml:space="preserve">11 </w:t>
            </w:r>
          </w:p>
        </w:tc>
        <w:tc>
          <w:tcPr>
            <w:tcW w:w="9188" w:type="dxa"/>
            <w:tcBorders>
              <w:top w:val="single" w:sz="4" w:space="0" w:color="000000"/>
              <w:left w:val="single" w:sz="4" w:space="0" w:color="000000"/>
              <w:bottom w:val="single" w:sz="4" w:space="0" w:color="000000"/>
              <w:right w:val="single" w:sz="4" w:space="0" w:color="000000"/>
            </w:tcBorders>
            <w:vAlign w:val="center"/>
          </w:tcPr>
          <w:p w14:paraId="069CA676" w14:textId="0CBCDB3D" w:rsidR="00F2456E" w:rsidRPr="00A75CB2" w:rsidRDefault="007C60E6" w:rsidP="00363513">
            <w:pPr>
              <w:spacing w:line="259" w:lineRule="auto"/>
              <w:jc w:val="both"/>
              <w:rPr>
                <w:lang w:val="en-US"/>
              </w:rPr>
            </w:pPr>
            <w:r w:rsidRPr="00A75CB2">
              <w:rPr>
                <w:lang w:val="en-US"/>
              </w:rPr>
              <w:t xml:space="preserve">Export of mercury and mercury compounds and the manufacture, export and import of a </w:t>
            </w:r>
            <w:r>
              <w:rPr>
                <w:lang w:val="en-US"/>
              </w:rPr>
              <w:t>large</w:t>
            </w:r>
            <w:r w:rsidRPr="00A75CB2">
              <w:rPr>
                <w:lang w:val="en-US"/>
              </w:rPr>
              <w:t xml:space="preserve"> range of mercury-added products  </w:t>
            </w:r>
          </w:p>
        </w:tc>
      </w:tr>
      <w:tr w:rsidR="00F2456E" w:rsidRPr="00A75CB2" w14:paraId="1D632FC1" w14:textId="77777777" w:rsidTr="00363513">
        <w:trPr>
          <w:trHeight w:val="1625"/>
        </w:trPr>
        <w:tc>
          <w:tcPr>
            <w:tcW w:w="729" w:type="dxa"/>
            <w:tcBorders>
              <w:top w:val="single" w:sz="4" w:space="0" w:color="000000"/>
              <w:left w:val="single" w:sz="4" w:space="0" w:color="000000"/>
              <w:bottom w:val="single" w:sz="4" w:space="0" w:color="000000"/>
              <w:right w:val="single" w:sz="4" w:space="0" w:color="000000"/>
            </w:tcBorders>
          </w:tcPr>
          <w:p w14:paraId="295E7017" w14:textId="77777777" w:rsidR="00F2456E" w:rsidRDefault="00F2456E" w:rsidP="00363513">
            <w:pPr>
              <w:spacing w:line="259" w:lineRule="auto"/>
              <w:ind w:right="84"/>
              <w:jc w:val="right"/>
            </w:pPr>
            <w:r>
              <w:t xml:space="preserve">12 </w:t>
            </w:r>
          </w:p>
        </w:tc>
        <w:tc>
          <w:tcPr>
            <w:tcW w:w="9188" w:type="dxa"/>
            <w:tcBorders>
              <w:top w:val="single" w:sz="4" w:space="0" w:color="000000"/>
              <w:left w:val="single" w:sz="4" w:space="0" w:color="000000"/>
              <w:bottom w:val="single" w:sz="4" w:space="0" w:color="000000"/>
              <w:right w:val="single" w:sz="4" w:space="0" w:color="000000"/>
            </w:tcBorders>
            <w:vAlign w:val="center"/>
          </w:tcPr>
          <w:p w14:paraId="26FEF0A8" w14:textId="27D6C786" w:rsidR="00F2456E" w:rsidRPr="00A75CB2" w:rsidRDefault="007C60E6" w:rsidP="00363513">
            <w:pPr>
              <w:spacing w:line="259" w:lineRule="auto"/>
              <w:ind w:right="60"/>
              <w:jc w:val="both"/>
              <w:rPr>
                <w:lang w:val="en-US"/>
              </w:rPr>
            </w:pPr>
            <w:r w:rsidRPr="007C60E6">
              <w:rPr>
                <w:lang w:val="en-US"/>
              </w:rPr>
              <w:t xml:space="preserve">Production, trade, storage or transportation of significant volumes of hazardous chemicals (gasoline, </w:t>
            </w:r>
            <w:r w:rsidR="00AA554A" w:rsidRPr="007C60E6">
              <w:rPr>
                <w:lang w:val="en-US"/>
              </w:rPr>
              <w:t>kerosene,</w:t>
            </w:r>
            <w:r w:rsidRPr="007C60E6">
              <w:rPr>
                <w:lang w:val="en-US"/>
              </w:rPr>
              <w:t xml:space="preserve"> and other petroleum products) or use of hazardous chemicals on a commercial scale, in the absence of appropriate permits and licenses </w:t>
            </w:r>
            <w:r>
              <w:rPr>
                <w:lang w:val="en-US"/>
              </w:rPr>
              <w:t xml:space="preserve">as </w:t>
            </w:r>
            <w:r w:rsidRPr="007C60E6">
              <w:rPr>
                <w:lang w:val="en-US"/>
              </w:rPr>
              <w:t>required under the laws of the Republic of Kazakhstan.</w:t>
            </w:r>
            <w:r>
              <w:rPr>
                <w:lang w:val="en-US"/>
              </w:rPr>
              <w:t xml:space="preserve"> </w:t>
            </w:r>
          </w:p>
        </w:tc>
      </w:tr>
    </w:tbl>
    <w:p w14:paraId="012BC6F9" w14:textId="289E9E9C" w:rsidR="00F2456E" w:rsidRPr="007C60E6" w:rsidRDefault="00F2456E" w:rsidP="00F2456E">
      <w:pPr>
        <w:spacing w:after="114" w:line="277" w:lineRule="auto"/>
        <w:rPr>
          <w:lang w:val="en-US"/>
        </w:rPr>
      </w:pPr>
      <w:r w:rsidRPr="007C60E6">
        <w:rPr>
          <w:i/>
          <w:lang w:val="en-US"/>
        </w:rPr>
        <w:t>*</w:t>
      </w:r>
      <w:r w:rsidR="007C60E6" w:rsidRPr="007C60E6">
        <w:rPr>
          <w:lang w:val="en-US"/>
        </w:rPr>
        <w:t xml:space="preserve"> </w:t>
      </w:r>
      <w:r w:rsidR="007C60E6" w:rsidRPr="007C60E6">
        <w:rPr>
          <w:i/>
          <w:lang w:val="en-US"/>
        </w:rPr>
        <w:t>Additional exc</w:t>
      </w:r>
      <w:r w:rsidR="007C60E6">
        <w:rPr>
          <w:i/>
          <w:lang w:val="en-US"/>
        </w:rPr>
        <w:t>lusions</w:t>
      </w:r>
      <w:r w:rsidR="007C60E6" w:rsidRPr="007C60E6">
        <w:rPr>
          <w:i/>
          <w:lang w:val="en-US"/>
        </w:rPr>
        <w:t xml:space="preserve"> are possible </w:t>
      </w:r>
      <w:r w:rsidR="007C60E6">
        <w:rPr>
          <w:i/>
          <w:lang w:val="en-US"/>
        </w:rPr>
        <w:t>under</w:t>
      </w:r>
      <w:r w:rsidR="007C60E6" w:rsidRPr="007C60E6">
        <w:rPr>
          <w:i/>
          <w:lang w:val="en-US"/>
        </w:rPr>
        <w:t xml:space="preserve"> the l</w:t>
      </w:r>
      <w:r w:rsidR="007C60E6">
        <w:rPr>
          <w:i/>
          <w:lang w:val="en-US"/>
        </w:rPr>
        <w:t>aws</w:t>
      </w:r>
      <w:r w:rsidR="007C60E6" w:rsidRPr="007C60E6">
        <w:rPr>
          <w:i/>
          <w:lang w:val="en-US"/>
        </w:rPr>
        <w:t xml:space="preserve"> of the Republic of Kazakhstan</w:t>
      </w:r>
      <w:r w:rsidR="007C60E6">
        <w:rPr>
          <w:i/>
          <w:lang w:val="en-US"/>
        </w:rPr>
        <w:t>.</w:t>
      </w:r>
    </w:p>
    <w:p w14:paraId="077CF95B" w14:textId="77777777" w:rsidR="00F2456E" w:rsidRPr="007C60E6" w:rsidRDefault="00F2456E" w:rsidP="00F2456E">
      <w:pPr>
        <w:spacing w:after="0" w:line="240" w:lineRule="auto"/>
        <w:jc w:val="center"/>
        <w:rPr>
          <w:rFonts w:eastAsia="Times New Roman" w:cs="Times New Roman"/>
          <w:b/>
          <w:szCs w:val="24"/>
          <w:lang w:val="en-US" w:eastAsia="ru-RU"/>
        </w:rPr>
      </w:pPr>
    </w:p>
    <w:p w14:paraId="6076C2B1" w14:textId="77777777" w:rsidR="00F2456E" w:rsidRPr="007C60E6" w:rsidRDefault="00F2456E" w:rsidP="00F2456E">
      <w:pPr>
        <w:spacing w:after="0" w:line="240" w:lineRule="auto"/>
        <w:jc w:val="center"/>
        <w:rPr>
          <w:rFonts w:eastAsia="Times New Roman" w:cs="Times New Roman"/>
          <w:b/>
          <w:szCs w:val="24"/>
          <w:lang w:val="en-US" w:eastAsia="ru-RU"/>
        </w:rPr>
      </w:pPr>
    </w:p>
    <w:p w14:paraId="4717F334" w14:textId="77777777" w:rsidR="00F2456E" w:rsidRPr="007C60E6" w:rsidRDefault="00F2456E" w:rsidP="00F2456E">
      <w:pPr>
        <w:spacing w:after="0" w:line="240" w:lineRule="auto"/>
        <w:jc w:val="center"/>
        <w:rPr>
          <w:rFonts w:eastAsia="Times New Roman" w:cs="Times New Roman"/>
          <w:b/>
          <w:szCs w:val="24"/>
          <w:lang w:val="en-US" w:eastAsia="ru-RU"/>
        </w:rPr>
      </w:pPr>
    </w:p>
    <w:p w14:paraId="7CD9ED73" w14:textId="77777777" w:rsidR="00F2456E" w:rsidRPr="007C60E6" w:rsidRDefault="00F2456E" w:rsidP="00F2456E">
      <w:pPr>
        <w:spacing w:after="0" w:line="240" w:lineRule="auto"/>
        <w:jc w:val="center"/>
        <w:rPr>
          <w:rFonts w:eastAsia="Times New Roman" w:cs="Times New Roman"/>
          <w:b/>
          <w:szCs w:val="24"/>
          <w:lang w:val="en-US" w:eastAsia="ru-RU"/>
        </w:rPr>
      </w:pPr>
    </w:p>
    <w:p w14:paraId="4F7753A1" w14:textId="77777777" w:rsidR="00F2456E" w:rsidRPr="007C60E6" w:rsidRDefault="00F2456E" w:rsidP="00F2456E">
      <w:pPr>
        <w:spacing w:after="0" w:line="240" w:lineRule="auto"/>
        <w:jc w:val="center"/>
        <w:rPr>
          <w:rFonts w:eastAsia="Times New Roman" w:cs="Times New Roman"/>
          <w:b/>
          <w:szCs w:val="24"/>
          <w:lang w:val="en-US" w:eastAsia="ru-RU"/>
        </w:rPr>
      </w:pPr>
    </w:p>
    <w:p w14:paraId="2FD03542" w14:textId="77777777" w:rsidR="00F2456E" w:rsidRPr="007C60E6" w:rsidRDefault="00F2456E" w:rsidP="00F2456E">
      <w:pPr>
        <w:spacing w:after="0" w:line="240" w:lineRule="auto"/>
        <w:jc w:val="center"/>
        <w:rPr>
          <w:rFonts w:eastAsia="Times New Roman" w:cs="Times New Roman"/>
          <w:b/>
          <w:szCs w:val="24"/>
          <w:lang w:val="en-US" w:eastAsia="ru-RU"/>
        </w:rPr>
      </w:pPr>
    </w:p>
    <w:p w14:paraId="619802C9" w14:textId="77777777" w:rsidR="00F2456E" w:rsidRPr="007C60E6" w:rsidRDefault="00F2456E" w:rsidP="00F2456E">
      <w:pPr>
        <w:spacing w:after="0" w:line="240" w:lineRule="auto"/>
        <w:jc w:val="center"/>
        <w:rPr>
          <w:rFonts w:eastAsia="Times New Roman" w:cs="Times New Roman"/>
          <w:b/>
          <w:szCs w:val="24"/>
          <w:lang w:val="en-US" w:eastAsia="ru-RU"/>
        </w:rPr>
      </w:pPr>
    </w:p>
    <w:p w14:paraId="1FAFC2BF" w14:textId="77777777" w:rsidR="00F2456E" w:rsidRPr="007C60E6" w:rsidRDefault="00F2456E" w:rsidP="00F2456E">
      <w:pPr>
        <w:spacing w:after="0" w:line="240" w:lineRule="auto"/>
        <w:jc w:val="center"/>
        <w:rPr>
          <w:rFonts w:eastAsia="Times New Roman" w:cs="Times New Roman"/>
          <w:b/>
          <w:szCs w:val="24"/>
          <w:lang w:val="en-US" w:eastAsia="ru-RU"/>
        </w:rPr>
      </w:pPr>
    </w:p>
    <w:p w14:paraId="34CED82D" w14:textId="77777777" w:rsidR="00F2456E" w:rsidRPr="007C60E6" w:rsidRDefault="00F2456E" w:rsidP="00F2456E">
      <w:pPr>
        <w:spacing w:after="0" w:line="240" w:lineRule="auto"/>
        <w:jc w:val="center"/>
        <w:rPr>
          <w:rFonts w:eastAsia="Times New Roman" w:cs="Times New Roman"/>
          <w:b/>
          <w:szCs w:val="24"/>
          <w:lang w:val="en-US" w:eastAsia="ru-RU"/>
        </w:rPr>
      </w:pPr>
    </w:p>
    <w:p w14:paraId="7E48186D" w14:textId="77777777" w:rsidR="00F2456E" w:rsidRPr="007C60E6" w:rsidRDefault="00F2456E" w:rsidP="00F2456E">
      <w:pPr>
        <w:spacing w:after="0" w:line="240" w:lineRule="auto"/>
        <w:jc w:val="center"/>
        <w:rPr>
          <w:rFonts w:eastAsia="Times New Roman" w:cs="Times New Roman"/>
          <w:b/>
          <w:szCs w:val="24"/>
          <w:lang w:val="en-US" w:eastAsia="ru-RU"/>
        </w:rPr>
      </w:pPr>
    </w:p>
    <w:p w14:paraId="2EDE04E3" w14:textId="77777777" w:rsidR="00F2456E" w:rsidRPr="007C60E6" w:rsidRDefault="00F2456E" w:rsidP="00F2456E">
      <w:pPr>
        <w:spacing w:after="0" w:line="240" w:lineRule="auto"/>
        <w:jc w:val="center"/>
        <w:rPr>
          <w:rFonts w:eastAsia="Times New Roman" w:cs="Times New Roman"/>
          <w:b/>
          <w:szCs w:val="24"/>
          <w:lang w:val="en-US" w:eastAsia="ru-RU"/>
        </w:rPr>
      </w:pPr>
    </w:p>
    <w:p w14:paraId="166E328A" w14:textId="77777777" w:rsidR="00F2456E" w:rsidRPr="007C60E6" w:rsidRDefault="00F2456E" w:rsidP="00F2456E">
      <w:pPr>
        <w:spacing w:after="0" w:line="240" w:lineRule="auto"/>
        <w:jc w:val="center"/>
        <w:rPr>
          <w:rFonts w:eastAsia="Times New Roman" w:cs="Times New Roman"/>
          <w:b/>
          <w:szCs w:val="24"/>
          <w:lang w:val="en-US" w:eastAsia="ru-RU"/>
        </w:rPr>
      </w:pPr>
    </w:p>
    <w:p w14:paraId="1C9582D8" w14:textId="77777777" w:rsidR="00F2456E" w:rsidRPr="007C60E6" w:rsidRDefault="00F2456E" w:rsidP="00F2456E">
      <w:pPr>
        <w:spacing w:after="0" w:line="240" w:lineRule="auto"/>
        <w:jc w:val="center"/>
        <w:rPr>
          <w:rFonts w:eastAsia="Times New Roman" w:cs="Times New Roman"/>
          <w:b/>
          <w:szCs w:val="24"/>
          <w:lang w:val="en-US" w:eastAsia="ru-RU"/>
        </w:rPr>
      </w:pPr>
    </w:p>
    <w:p w14:paraId="2EC9607A" w14:textId="77777777" w:rsidR="00F2456E" w:rsidRPr="007C60E6" w:rsidRDefault="00F2456E" w:rsidP="00F2456E">
      <w:pPr>
        <w:spacing w:after="0" w:line="240" w:lineRule="auto"/>
        <w:jc w:val="center"/>
        <w:rPr>
          <w:rFonts w:eastAsia="Times New Roman" w:cs="Times New Roman"/>
          <w:b/>
          <w:szCs w:val="24"/>
          <w:lang w:val="en-US" w:eastAsia="ru-RU"/>
        </w:rPr>
      </w:pPr>
    </w:p>
    <w:p w14:paraId="7E86F126" w14:textId="77777777" w:rsidR="00F2456E" w:rsidRPr="007C60E6" w:rsidRDefault="00F2456E" w:rsidP="00F2456E">
      <w:pPr>
        <w:spacing w:after="0" w:line="240" w:lineRule="auto"/>
        <w:jc w:val="center"/>
        <w:rPr>
          <w:rFonts w:eastAsia="Times New Roman" w:cs="Times New Roman"/>
          <w:b/>
          <w:szCs w:val="24"/>
          <w:lang w:val="en-US" w:eastAsia="ru-RU"/>
        </w:rPr>
      </w:pPr>
    </w:p>
    <w:p w14:paraId="19DE2DED" w14:textId="77777777" w:rsidR="00F2456E" w:rsidRPr="007C60E6" w:rsidRDefault="00F2456E" w:rsidP="00F2456E">
      <w:pPr>
        <w:spacing w:after="0" w:line="240" w:lineRule="auto"/>
        <w:jc w:val="center"/>
        <w:rPr>
          <w:rFonts w:eastAsia="Times New Roman" w:cs="Times New Roman"/>
          <w:b/>
          <w:szCs w:val="24"/>
          <w:lang w:val="en-US" w:eastAsia="ru-RU"/>
        </w:rPr>
      </w:pPr>
    </w:p>
    <w:p w14:paraId="7B949EF5" w14:textId="77777777" w:rsidR="00F2456E" w:rsidRDefault="00F2456E" w:rsidP="00F2456E">
      <w:pPr>
        <w:spacing w:after="0" w:line="240" w:lineRule="auto"/>
        <w:jc w:val="center"/>
        <w:rPr>
          <w:rFonts w:eastAsia="Times New Roman" w:cs="Times New Roman"/>
          <w:b/>
          <w:szCs w:val="24"/>
          <w:lang w:val="en-US" w:eastAsia="ru-RU"/>
        </w:rPr>
      </w:pPr>
    </w:p>
    <w:p w14:paraId="3452CA19" w14:textId="77777777" w:rsidR="007C60E6" w:rsidRDefault="007C60E6" w:rsidP="00F2456E">
      <w:pPr>
        <w:spacing w:after="0" w:line="240" w:lineRule="auto"/>
        <w:jc w:val="center"/>
        <w:rPr>
          <w:rFonts w:eastAsia="Times New Roman" w:cs="Times New Roman"/>
          <w:b/>
          <w:szCs w:val="24"/>
          <w:lang w:val="en-US" w:eastAsia="ru-RU"/>
        </w:rPr>
      </w:pPr>
    </w:p>
    <w:p w14:paraId="4E3DE02F" w14:textId="77777777" w:rsidR="007C60E6" w:rsidRDefault="007C60E6" w:rsidP="00F2456E">
      <w:pPr>
        <w:spacing w:after="0" w:line="240" w:lineRule="auto"/>
        <w:jc w:val="center"/>
        <w:rPr>
          <w:rFonts w:eastAsia="Times New Roman" w:cs="Times New Roman"/>
          <w:b/>
          <w:szCs w:val="24"/>
          <w:lang w:val="en-US" w:eastAsia="ru-RU"/>
        </w:rPr>
      </w:pPr>
    </w:p>
    <w:p w14:paraId="2566F1F4" w14:textId="77777777" w:rsidR="007C60E6" w:rsidRDefault="007C60E6" w:rsidP="00F2456E">
      <w:pPr>
        <w:spacing w:after="0" w:line="240" w:lineRule="auto"/>
        <w:jc w:val="center"/>
        <w:rPr>
          <w:rFonts w:eastAsia="Times New Roman" w:cs="Times New Roman"/>
          <w:b/>
          <w:szCs w:val="24"/>
          <w:lang w:val="en-US" w:eastAsia="ru-RU"/>
        </w:rPr>
      </w:pPr>
    </w:p>
    <w:p w14:paraId="7B925DC1" w14:textId="77777777" w:rsidR="007C60E6" w:rsidRDefault="007C60E6" w:rsidP="00F2456E">
      <w:pPr>
        <w:spacing w:after="0" w:line="240" w:lineRule="auto"/>
        <w:jc w:val="center"/>
        <w:rPr>
          <w:rFonts w:eastAsia="Times New Roman" w:cs="Times New Roman"/>
          <w:b/>
          <w:szCs w:val="24"/>
          <w:lang w:val="en-US" w:eastAsia="ru-RU"/>
        </w:rPr>
      </w:pPr>
    </w:p>
    <w:p w14:paraId="276BD325" w14:textId="77777777" w:rsidR="007C60E6" w:rsidRDefault="007C60E6" w:rsidP="00F2456E">
      <w:pPr>
        <w:spacing w:after="0" w:line="240" w:lineRule="auto"/>
        <w:jc w:val="center"/>
        <w:rPr>
          <w:rFonts w:eastAsia="Times New Roman" w:cs="Times New Roman"/>
          <w:b/>
          <w:szCs w:val="24"/>
          <w:lang w:val="en-US" w:eastAsia="ru-RU"/>
        </w:rPr>
      </w:pPr>
    </w:p>
    <w:p w14:paraId="22CA4AA8" w14:textId="77777777" w:rsidR="007C60E6" w:rsidRPr="007C60E6" w:rsidRDefault="007C60E6" w:rsidP="00F2456E">
      <w:pPr>
        <w:spacing w:after="0" w:line="240" w:lineRule="auto"/>
        <w:jc w:val="center"/>
        <w:rPr>
          <w:rFonts w:eastAsia="Times New Roman" w:cs="Times New Roman"/>
          <w:b/>
          <w:szCs w:val="24"/>
          <w:lang w:val="en-US" w:eastAsia="ru-RU"/>
        </w:rPr>
      </w:pPr>
    </w:p>
    <w:p w14:paraId="0FA3103F" w14:textId="77777777" w:rsidR="00F2456E" w:rsidRPr="007C60E6" w:rsidRDefault="00F2456E" w:rsidP="00F2456E">
      <w:pPr>
        <w:spacing w:after="0" w:line="240" w:lineRule="auto"/>
        <w:jc w:val="center"/>
        <w:rPr>
          <w:rFonts w:eastAsia="Times New Roman" w:cs="Times New Roman"/>
          <w:b/>
          <w:szCs w:val="24"/>
          <w:lang w:val="en-US" w:eastAsia="ru-RU"/>
        </w:rPr>
      </w:pPr>
    </w:p>
    <w:p w14:paraId="7DB30272" w14:textId="77777777" w:rsidR="00F2456E" w:rsidRPr="007C60E6" w:rsidRDefault="00F2456E" w:rsidP="00F2456E">
      <w:pPr>
        <w:spacing w:after="0" w:line="240" w:lineRule="auto"/>
        <w:jc w:val="center"/>
        <w:rPr>
          <w:rFonts w:eastAsia="Times New Roman" w:cs="Times New Roman"/>
          <w:b/>
          <w:szCs w:val="24"/>
          <w:lang w:val="en-US" w:eastAsia="ru-RU"/>
        </w:rPr>
      </w:pPr>
    </w:p>
    <w:p w14:paraId="5771CD25" w14:textId="09E9496E" w:rsidR="00F2456E" w:rsidRDefault="007C60E6" w:rsidP="00F2456E">
      <w:pPr>
        <w:pStyle w:val="2"/>
        <w:rPr>
          <w:lang w:val="kk-KZ"/>
        </w:rPr>
      </w:pPr>
      <w:bookmarkStart w:id="43" w:name="_Toc139473425"/>
      <w:bookmarkStart w:id="44" w:name="_Toc136446377"/>
      <w:bookmarkStart w:id="45" w:name="_Toc139019039"/>
      <w:bookmarkStart w:id="46" w:name="_Toc139290500"/>
      <w:bookmarkStart w:id="47" w:name="_Toc199501415"/>
      <w:r>
        <w:rPr>
          <w:lang w:val="en-US"/>
        </w:rPr>
        <w:lastRenderedPageBreak/>
        <w:t>Annex</w:t>
      </w:r>
      <w:r w:rsidR="00F2456E">
        <w:rPr>
          <w:lang w:val="kk-KZ"/>
        </w:rPr>
        <w:t xml:space="preserve"> 2</w:t>
      </w:r>
      <w:bookmarkEnd w:id="43"/>
      <w:r w:rsidR="00F2456E">
        <w:rPr>
          <w:lang w:val="kk-KZ"/>
        </w:rPr>
        <w:t xml:space="preserve">. </w:t>
      </w:r>
      <w:r>
        <w:rPr>
          <w:lang w:val="en-US"/>
        </w:rPr>
        <w:t>Terms</w:t>
      </w:r>
      <w:r w:rsidRPr="00A75CB2">
        <w:rPr>
          <w:lang w:val="en-US"/>
        </w:rPr>
        <w:t xml:space="preserve"> </w:t>
      </w:r>
      <w:r>
        <w:rPr>
          <w:lang w:val="en-US"/>
        </w:rPr>
        <w:t>and</w:t>
      </w:r>
      <w:r w:rsidRPr="00A75CB2">
        <w:rPr>
          <w:lang w:val="en-US"/>
        </w:rPr>
        <w:t xml:space="preserve"> </w:t>
      </w:r>
      <w:r>
        <w:rPr>
          <w:lang w:val="en-US"/>
        </w:rPr>
        <w:t>Abbreviations</w:t>
      </w:r>
      <w:bookmarkEnd w:id="44"/>
      <w:bookmarkEnd w:id="45"/>
      <w:bookmarkEnd w:id="46"/>
      <w:bookmarkEnd w:id="47"/>
    </w:p>
    <w:p w14:paraId="43D7D67D" w14:textId="77777777" w:rsidR="00F2456E" w:rsidRPr="00E94F9F" w:rsidRDefault="00F2456E" w:rsidP="00F2456E">
      <w:pPr>
        <w:rPr>
          <w:lang w:val="kk-KZ"/>
        </w:rPr>
      </w:pPr>
    </w:p>
    <w:p w14:paraId="4A4C4F47" w14:textId="4F4E2BC3" w:rsidR="00F2456E" w:rsidRPr="007C60E6" w:rsidRDefault="007C60E6" w:rsidP="00F2456E">
      <w:pPr>
        <w:spacing w:after="0" w:line="240" w:lineRule="auto"/>
        <w:contextualSpacing/>
        <w:jc w:val="both"/>
        <w:rPr>
          <w:rFonts w:cs="Times New Roman"/>
          <w:b/>
          <w:szCs w:val="24"/>
          <w:lang w:val="kk-KZ"/>
        </w:rPr>
      </w:pPr>
      <w:r w:rsidRPr="007C60E6">
        <w:rPr>
          <w:rFonts w:cs="Times New Roman"/>
          <w:b/>
          <w:szCs w:val="24"/>
          <w:lang w:val="kk-KZ"/>
        </w:rPr>
        <w:t>Agency</w:t>
      </w:r>
      <w:r w:rsidR="00F2456E" w:rsidRPr="007C60E6">
        <w:rPr>
          <w:rFonts w:cs="Times New Roman"/>
          <w:b/>
          <w:szCs w:val="24"/>
          <w:lang w:val="kk-KZ"/>
        </w:rPr>
        <w:t xml:space="preserve"> </w:t>
      </w:r>
      <w:r w:rsidRPr="007C60E6">
        <w:rPr>
          <w:rFonts w:cs="Times New Roman"/>
          <w:szCs w:val="24"/>
          <w:lang w:val="kk-KZ"/>
        </w:rPr>
        <w:t>means the Agency of the Republic of Kazakhstan for Regulation and Developm</w:t>
      </w:r>
      <w:r>
        <w:rPr>
          <w:rFonts w:cs="Times New Roman"/>
          <w:szCs w:val="24"/>
          <w:lang w:val="en-US"/>
        </w:rPr>
        <w:t>ent of Financial Market</w:t>
      </w:r>
    </w:p>
    <w:p w14:paraId="6C8A36C6" w14:textId="3AE55EAD" w:rsidR="00F2456E" w:rsidRPr="007E6CD0" w:rsidRDefault="007C60E6" w:rsidP="00F2456E">
      <w:pPr>
        <w:spacing w:after="0" w:line="240" w:lineRule="auto"/>
        <w:contextualSpacing/>
        <w:jc w:val="both"/>
        <w:rPr>
          <w:rFonts w:eastAsia="Calibri" w:cs="Times New Roman"/>
          <w:b/>
          <w:szCs w:val="24"/>
          <w:lang w:val="en-US" w:eastAsia="zh-CN"/>
        </w:rPr>
      </w:pPr>
      <w:r w:rsidRPr="007C60E6">
        <w:rPr>
          <w:rFonts w:cs="Times New Roman"/>
          <w:b/>
          <w:szCs w:val="24"/>
          <w:lang w:val="kk-KZ"/>
        </w:rPr>
        <w:t xml:space="preserve">Green infrastructure </w:t>
      </w:r>
      <w:r w:rsidRPr="007C60E6">
        <w:rPr>
          <w:rFonts w:cs="Times New Roman"/>
          <w:bCs/>
          <w:szCs w:val="24"/>
          <w:lang w:val="kk-KZ"/>
        </w:rPr>
        <w:t xml:space="preserve">means a strategically planned network of natural </w:t>
      </w:r>
      <w:r w:rsidR="002E5166" w:rsidRPr="002809E7">
        <w:rPr>
          <w:rFonts w:cs="Times New Roman"/>
          <w:szCs w:val="24"/>
          <w:lang w:val="kk-KZ"/>
        </w:rPr>
        <w:t>sites</w:t>
      </w:r>
      <w:r w:rsidRPr="007C60E6">
        <w:rPr>
          <w:rFonts w:cs="Times New Roman"/>
          <w:bCs/>
          <w:szCs w:val="24"/>
          <w:lang w:val="kk-KZ"/>
        </w:rPr>
        <w:t xml:space="preserve"> integrated into urban and rural areas, one of the key objectives of which is to preserve biodiversity and </w:t>
      </w:r>
      <w:r w:rsidR="007E6CD0">
        <w:rPr>
          <w:rFonts w:cs="Times New Roman"/>
          <w:bCs/>
          <w:szCs w:val="24"/>
          <w:lang w:val="en-US"/>
        </w:rPr>
        <w:t>the environment.</w:t>
      </w:r>
    </w:p>
    <w:p w14:paraId="0D643DEC" w14:textId="03712903" w:rsidR="00F2456E" w:rsidRPr="007E6CD0" w:rsidRDefault="007E6CD0" w:rsidP="00F2456E">
      <w:pPr>
        <w:spacing w:after="0" w:line="240" w:lineRule="auto"/>
        <w:contextualSpacing/>
        <w:jc w:val="both"/>
        <w:rPr>
          <w:rFonts w:cs="Times New Roman"/>
          <w:szCs w:val="24"/>
          <w:lang w:val="en-US"/>
        </w:rPr>
      </w:pPr>
      <w:r w:rsidRPr="007E6CD0">
        <w:rPr>
          <w:rFonts w:cs="Times New Roman"/>
          <w:b/>
          <w:szCs w:val="24"/>
          <w:shd w:val="clear" w:color="auto" w:fill="FFFFFF"/>
          <w:lang w:val="en-US"/>
        </w:rPr>
        <w:t xml:space="preserve">Green buildings </w:t>
      </w:r>
      <w:r w:rsidRPr="007E6CD0">
        <w:rPr>
          <w:rFonts w:cs="Times New Roman"/>
          <w:bCs/>
          <w:szCs w:val="24"/>
          <w:shd w:val="clear" w:color="auto" w:fill="FFFFFF"/>
          <w:lang w:val="en-US"/>
        </w:rPr>
        <w:t xml:space="preserve">mean buildings constructed or reconstructed to reduce resource consumption and minimize environmental impact both during </w:t>
      </w:r>
      <w:r w:rsidR="002E5166" w:rsidRPr="002809E7">
        <w:rPr>
          <w:rFonts w:cs="Times New Roman"/>
          <w:szCs w:val="24"/>
          <w:shd w:val="clear" w:color="auto" w:fill="FFFFFF"/>
          <w:lang w:val="en-US"/>
        </w:rPr>
        <w:t>construction</w:t>
      </w:r>
      <w:r w:rsidRPr="007E6CD0">
        <w:rPr>
          <w:rFonts w:cs="Times New Roman"/>
          <w:bCs/>
          <w:szCs w:val="24"/>
          <w:shd w:val="clear" w:color="auto" w:fill="FFFFFF"/>
          <w:lang w:val="en-US"/>
        </w:rPr>
        <w:t xml:space="preserve"> and operation</w:t>
      </w:r>
      <w:r>
        <w:rPr>
          <w:rFonts w:cs="Times New Roman"/>
          <w:b/>
          <w:szCs w:val="24"/>
          <w:shd w:val="clear" w:color="auto" w:fill="FFFFFF"/>
          <w:lang w:val="en-US"/>
        </w:rPr>
        <w:t>.</w:t>
      </w:r>
    </w:p>
    <w:p w14:paraId="59A8411A" w14:textId="2168E057" w:rsidR="00F2456E" w:rsidRPr="007E6CD0" w:rsidRDefault="007E6CD0" w:rsidP="00F2456E">
      <w:pPr>
        <w:spacing w:after="0" w:line="240" w:lineRule="auto"/>
        <w:contextualSpacing/>
        <w:jc w:val="both"/>
        <w:rPr>
          <w:rFonts w:cs="Times New Roman"/>
          <w:szCs w:val="24"/>
          <w:lang w:val="en-US"/>
        </w:rPr>
      </w:pPr>
      <w:r w:rsidRPr="007E6CD0">
        <w:rPr>
          <w:rFonts w:cs="Times New Roman"/>
          <w:b/>
          <w:szCs w:val="24"/>
          <w:lang w:val="en-US"/>
        </w:rPr>
        <w:t xml:space="preserve">Green loans </w:t>
      </w:r>
      <w:r w:rsidRPr="007E6CD0">
        <w:rPr>
          <w:rFonts w:cs="Times New Roman"/>
          <w:bCs/>
          <w:szCs w:val="24"/>
          <w:lang w:val="en-US"/>
        </w:rPr>
        <w:t>mean targeted loans designed to finance green projects</w:t>
      </w:r>
      <w:r>
        <w:rPr>
          <w:rFonts w:cs="Times New Roman"/>
          <w:b/>
          <w:szCs w:val="24"/>
          <w:lang w:val="en-US"/>
        </w:rPr>
        <w:t>.</w:t>
      </w:r>
    </w:p>
    <w:p w14:paraId="26D66F65" w14:textId="4BA312F1" w:rsidR="00F2456E" w:rsidRPr="007E6CD0" w:rsidRDefault="007E6CD0" w:rsidP="00F2456E">
      <w:pPr>
        <w:spacing w:after="0" w:line="240" w:lineRule="auto"/>
        <w:contextualSpacing/>
        <w:jc w:val="both"/>
        <w:rPr>
          <w:rFonts w:cs="Times New Roman"/>
          <w:bCs/>
          <w:color w:val="000000"/>
          <w:szCs w:val="24"/>
          <w:lang w:val="en-US"/>
        </w:rPr>
      </w:pPr>
      <w:r w:rsidRPr="007E6CD0">
        <w:rPr>
          <w:rFonts w:cs="Times New Roman"/>
          <w:b/>
          <w:szCs w:val="24"/>
          <w:lang w:val="en-US"/>
        </w:rPr>
        <w:t xml:space="preserve">Green projects </w:t>
      </w:r>
      <w:r w:rsidRPr="007E6CD0">
        <w:rPr>
          <w:rFonts w:cs="Times New Roman"/>
          <w:bCs/>
          <w:szCs w:val="24"/>
          <w:lang w:val="en-US"/>
        </w:rPr>
        <w:t>mean projects as defined based on the approved classification (taxonomy) and aimed at improving the efficiency of using the existing natural resources, reducing the negative environmental impact, improving energy efficiency, energy saving, climate change mitigation and adaptation.</w:t>
      </w:r>
    </w:p>
    <w:p w14:paraId="0B7C2D38" w14:textId="08E8A3D1" w:rsidR="00F2456E" w:rsidRPr="000234B8" w:rsidRDefault="000234B8" w:rsidP="00F2456E">
      <w:pPr>
        <w:spacing w:after="0"/>
        <w:jc w:val="both"/>
        <w:rPr>
          <w:rFonts w:cs="Times New Roman"/>
          <w:color w:val="000000" w:themeColor="text1"/>
          <w:szCs w:val="24"/>
          <w:lang w:val="en-US"/>
        </w:rPr>
      </w:pPr>
      <w:r w:rsidRPr="000234B8">
        <w:rPr>
          <w:rFonts w:cs="Times New Roman"/>
          <w:b/>
          <w:color w:val="000000"/>
          <w:szCs w:val="24"/>
          <w:lang w:val="en-US"/>
        </w:rPr>
        <w:t>Green financ</w:t>
      </w:r>
      <w:r w:rsidR="002E5166">
        <w:rPr>
          <w:rFonts w:cs="Times New Roman"/>
          <w:b/>
          <w:color w:val="000000"/>
          <w:szCs w:val="24"/>
          <w:lang w:val="en-US"/>
        </w:rPr>
        <w:t>e</w:t>
      </w:r>
      <w:r>
        <w:rPr>
          <w:rFonts w:cs="Times New Roman"/>
          <w:b/>
          <w:color w:val="000000"/>
          <w:szCs w:val="24"/>
          <w:lang w:val="en-US"/>
        </w:rPr>
        <w:t xml:space="preserve"> </w:t>
      </w:r>
      <w:r w:rsidRPr="000234B8">
        <w:rPr>
          <w:rFonts w:cs="Times New Roman"/>
          <w:bCs/>
          <w:color w:val="000000"/>
          <w:szCs w:val="24"/>
          <w:lang w:val="en-US"/>
        </w:rPr>
        <w:t xml:space="preserve">means investments aimed at implementation of green projects and </w:t>
      </w:r>
      <w:r w:rsidR="002E5166">
        <w:rPr>
          <w:rFonts w:cs="Times New Roman"/>
          <w:bCs/>
          <w:color w:val="000000"/>
          <w:szCs w:val="24"/>
          <w:lang w:val="en-US"/>
        </w:rPr>
        <w:t>raised</w:t>
      </w:r>
      <w:r w:rsidRPr="000234B8">
        <w:rPr>
          <w:rFonts w:cs="Times New Roman"/>
          <w:bCs/>
          <w:color w:val="000000"/>
          <w:szCs w:val="24"/>
          <w:lang w:val="en-US"/>
        </w:rPr>
        <w:t xml:space="preserve"> through such instruments as green bonds, green loans and other financial instruments determined by the authorized body for regulation, control and supervision of the financial market and financial organizations</w:t>
      </w:r>
      <w:r>
        <w:rPr>
          <w:rFonts w:cs="Times New Roman"/>
          <w:bCs/>
          <w:color w:val="000000"/>
          <w:szCs w:val="24"/>
          <w:lang w:val="en-US"/>
        </w:rPr>
        <w:t>.</w:t>
      </w:r>
    </w:p>
    <w:p w14:paraId="35DF614F" w14:textId="4B2916E9" w:rsidR="00F2456E" w:rsidRPr="00F8653E" w:rsidRDefault="00F8653E" w:rsidP="00F2456E">
      <w:pPr>
        <w:spacing w:after="0" w:line="240" w:lineRule="auto"/>
        <w:contextualSpacing/>
        <w:jc w:val="both"/>
        <w:rPr>
          <w:rFonts w:cs="Times New Roman"/>
          <w:color w:val="000000" w:themeColor="text1"/>
          <w:szCs w:val="24"/>
          <w:lang w:val="en-US"/>
        </w:rPr>
      </w:pPr>
      <w:r w:rsidRPr="00F8653E">
        <w:rPr>
          <w:rFonts w:cs="Times New Roman"/>
          <w:b/>
          <w:color w:val="000000" w:themeColor="text1"/>
          <w:szCs w:val="24"/>
          <w:lang w:val="en-US"/>
        </w:rPr>
        <w:t xml:space="preserve">Climate risks </w:t>
      </w:r>
      <w:r w:rsidRPr="00F8653E">
        <w:rPr>
          <w:rFonts w:cs="Times New Roman"/>
          <w:bCs/>
          <w:color w:val="000000" w:themeColor="text1"/>
          <w:szCs w:val="24"/>
          <w:lang w:val="en-US"/>
        </w:rPr>
        <w:t>mean potential risks that may arise due to climate change (physical risks) or measures to mi</w:t>
      </w:r>
      <w:r>
        <w:rPr>
          <w:rFonts w:cs="Times New Roman"/>
          <w:bCs/>
          <w:color w:val="000000" w:themeColor="text1"/>
          <w:szCs w:val="24"/>
          <w:lang w:val="en-US"/>
        </w:rPr>
        <w:t xml:space="preserve">tigate </w:t>
      </w:r>
      <w:r w:rsidRPr="00F8653E">
        <w:rPr>
          <w:rFonts w:cs="Times New Roman"/>
          <w:bCs/>
          <w:color w:val="000000" w:themeColor="text1"/>
          <w:szCs w:val="24"/>
          <w:lang w:val="en-US"/>
        </w:rPr>
        <w:t>its effects (transition risks)</w:t>
      </w:r>
      <w:r>
        <w:rPr>
          <w:rFonts w:cs="Times New Roman"/>
          <w:bCs/>
          <w:color w:val="000000" w:themeColor="text1"/>
          <w:szCs w:val="24"/>
          <w:lang w:val="en-US"/>
        </w:rPr>
        <w:t>.</w:t>
      </w:r>
    </w:p>
    <w:p w14:paraId="55A4F4BB" w14:textId="014946A3" w:rsidR="00F2456E" w:rsidRPr="00F8653E" w:rsidRDefault="00F8653E" w:rsidP="00F2456E">
      <w:pPr>
        <w:spacing w:after="0" w:line="240" w:lineRule="auto"/>
        <w:contextualSpacing/>
        <w:jc w:val="both"/>
        <w:rPr>
          <w:color w:val="000000" w:themeColor="text1"/>
          <w:lang w:val="en-US"/>
        </w:rPr>
      </w:pPr>
      <w:r>
        <w:rPr>
          <w:rFonts w:eastAsia="Calibri" w:cs="Times New Roman"/>
          <w:b/>
          <w:bCs/>
          <w:color w:val="000000" w:themeColor="text1"/>
          <w:szCs w:val="24"/>
          <w:lang w:val="en-US" w:eastAsia="zh-CN"/>
        </w:rPr>
        <w:t>Due</w:t>
      </w:r>
      <w:r w:rsidRPr="00F8653E">
        <w:rPr>
          <w:rFonts w:eastAsia="Calibri" w:cs="Times New Roman"/>
          <w:b/>
          <w:bCs/>
          <w:color w:val="000000" w:themeColor="text1"/>
          <w:szCs w:val="24"/>
          <w:lang w:val="en-US" w:eastAsia="zh-CN"/>
        </w:rPr>
        <w:t xml:space="preserve"> </w:t>
      </w:r>
      <w:r>
        <w:rPr>
          <w:rFonts w:eastAsia="Calibri" w:cs="Times New Roman"/>
          <w:b/>
          <w:bCs/>
          <w:color w:val="000000" w:themeColor="text1"/>
          <w:szCs w:val="24"/>
          <w:lang w:val="en-US" w:eastAsia="zh-CN"/>
        </w:rPr>
        <w:t>diligence</w:t>
      </w:r>
      <w:r w:rsidR="00F2456E" w:rsidRPr="00F8653E">
        <w:rPr>
          <w:rFonts w:eastAsia="Calibri" w:cs="Times New Roman"/>
          <w:color w:val="000000" w:themeColor="text1"/>
          <w:szCs w:val="24"/>
          <w:lang w:val="en-US" w:eastAsia="zh-CN"/>
        </w:rPr>
        <w:t xml:space="preserve"> </w:t>
      </w:r>
      <w:r>
        <w:rPr>
          <w:color w:val="000000" w:themeColor="text1"/>
          <w:lang w:val="en-US"/>
        </w:rPr>
        <w:t>means</w:t>
      </w:r>
      <w:r w:rsidRPr="00F8653E">
        <w:rPr>
          <w:color w:val="000000" w:themeColor="text1"/>
          <w:lang w:val="en-US"/>
        </w:rPr>
        <w:t xml:space="preserve"> </w:t>
      </w:r>
      <w:r>
        <w:rPr>
          <w:color w:val="000000" w:themeColor="text1"/>
          <w:lang w:val="en-US"/>
        </w:rPr>
        <w:t>a</w:t>
      </w:r>
      <w:r w:rsidRPr="00F8653E">
        <w:rPr>
          <w:color w:val="000000" w:themeColor="text1"/>
          <w:lang w:val="en-US"/>
        </w:rPr>
        <w:t>nalysis of potential climat</w:t>
      </w:r>
      <w:r>
        <w:rPr>
          <w:color w:val="000000" w:themeColor="text1"/>
          <w:lang w:val="en-US"/>
        </w:rPr>
        <w:t>e</w:t>
      </w:r>
      <w:r w:rsidRPr="00F8653E">
        <w:rPr>
          <w:color w:val="000000" w:themeColor="text1"/>
          <w:lang w:val="en-US"/>
        </w:rPr>
        <w:t xml:space="preserve">, environmental and social risks, as well as ESG factors </w:t>
      </w:r>
      <w:r w:rsidR="009A3656">
        <w:rPr>
          <w:color w:val="000000" w:themeColor="text1"/>
          <w:lang w:val="en-US"/>
        </w:rPr>
        <w:t>associated with</w:t>
      </w:r>
      <w:r w:rsidRPr="00F8653E">
        <w:rPr>
          <w:color w:val="000000" w:themeColor="text1"/>
          <w:lang w:val="en-US"/>
        </w:rPr>
        <w:t xml:space="preserve"> activities of </w:t>
      </w:r>
      <w:r>
        <w:rPr>
          <w:color w:val="000000" w:themeColor="text1"/>
          <w:lang w:val="en-US"/>
        </w:rPr>
        <w:t>the financial institution’s</w:t>
      </w:r>
      <w:r w:rsidRPr="00F8653E">
        <w:rPr>
          <w:color w:val="000000" w:themeColor="text1"/>
          <w:lang w:val="en-US"/>
        </w:rPr>
        <w:t xml:space="preserve"> potential c</w:t>
      </w:r>
      <w:r>
        <w:rPr>
          <w:color w:val="000000" w:themeColor="text1"/>
          <w:lang w:val="en-US"/>
        </w:rPr>
        <w:t>ustomer</w:t>
      </w:r>
      <w:r w:rsidR="009A3656">
        <w:rPr>
          <w:color w:val="000000" w:themeColor="text1"/>
          <w:lang w:val="en-US"/>
        </w:rPr>
        <w:t xml:space="preserve"> with the view</w:t>
      </w:r>
      <w:r w:rsidRPr="00F8653E">
        <w:rPr>
          <w:color w:val="000000" w:themeColor="text1"/>
          <w:lang w:val="en-US"/>
        </w:rPr>
        <w:t xml:space="preserve"> to ensure that the loan</w:t>
      </w:r>
      <w:r w:rsidR="009A3656">
        <w:rPr>
          <w:color w:val="000000" w:themeColor="text1"/>
          <w:lang w:val="en-US"/>
        </w:rPr>
        <w:t xml:space="preserve"> disbursement</w:t>
      </w:r>
      <w:r w:rsidRPr="00F8653E">
        <w:rPr>
          <w:color w:val="000000" w:themeColor="text1"/>
          <w:lang w:val="en-US"/>
        </w:rPr>
        <w:t xml:space="preserve"> does not pose climat</w:t>
      </w:r>
      <w:r w:rsidR="009A3656">
        <w:rPr>
          <w:color w:val="000000" w:themeColor="text1"/>
          <w:lang w:val="en-US"/>
        </w:rPr>
        <w:t>e</w:t>
      </w:r>
      <w:r w:rsidRPr="00F8653E">
        <w:rPr>
          <w:color w:val="000000" w:themeColor="text1"/>
          <w:lang w:val="en-US"/>
        </w:rPr>
        <w:t>, environmental and social risks or other ESG factors that may constitute a potential liability or risk to the Bank.</w:t>
      </w:r>
    </w:p>
    <w:p w14:paraId="344D8C64" w14:textId="7B43F6FF" w:rsidR="00F2456E" w:rsidRPr="00E94F9F" w:rsidRDefault="009A3656" w:rsidP="00F2456E">
      <w:pPr>
        <w:spacing w:after="0" w:line="240" w:lineRule="auto"/>
        <w:contextualSpacing/>
        <w:jc w:val="both"/>
        <w:rPr>
          <w:rFonts w:eastAsia="Calibri" w:cs="Times New Roman"/>
          <w:color w:val="000000" w:themeColor="text1"/>
          <w:szCs w:val="24"/>
          <w:lang w:val="kk-KZ" w:eastAsia="zh-CN"/>
        </w:rPr>
      </w:pPr>
      <w:r>
        <w:rPr>
          <w:rFonts w:eastAsia="Calibri" w:cs="Times New Roman"/>
          <w:b/>
          <w:color w:val="000000" w:themeColor="text1"/>
          <w:szCs w:val="24"/>
          <w:lang w:val="en-US" w:eastAsia="zh-CN"/>
        </w:rPr>
        <w:t>UN</w:t>
      </w:r>
      <w:r w:rsidR="00F2456E" w:rsidRPr="009A3656">
        <w:rPr>
          <w:rFonts w:eastAsia="Malgun Gothic" w:cs="Times New Roman"/>
          <w:b/>
          <w:color w:val="000000" w:themeColor="text1"/>
          <w:lang w:val="en-US" w:eastAsia="zh-CN"/>
        </w:rPr>
        <w:t xml:space="preserve"> </w:t>
      </w:r>
      <w:r w:rsidRPr="009A3656">
        <w:rPr>
          <w:rFonts w:eastAsia="Malgun Gothic" w:cs="Times New Roman"/>
          <w:bCs/>
          <w:color w:val="000000" w:themeColor="text1"/>
          <w:lang w:val="en-US" w:eastAsia="zh-CN"/>
        </w:rPr>
        <w:t>means the</w:t>
      </w:r>
      <w:r w:rsidR="00F2456E" w:rsidRPr="009A3656">
        <w:rPr>
          <w:rFonts w:eastAsia="Calibri" w:cs="Times New Roman"/>
          <w:color w:val="000000" w:themeColor="text1"/>
          <w:szCs w:val="24"/>
          <w:lang w:val="en-US" w:eastAsia="zh-CN"/>
        </w:rPr>
        <w:t xml:space="preserve"> </w:t>
      </w:r>
      <w:r w:rsidRPr="009A3656">
        <w:rPr>
          <w:rFonts w:eastAsia="Calibri" w:cs="Times New Roman"/>
          <w:color w:val="000000" w:themeColor="text1"/>
          <w:szCs w:val="24"/>
          <w:lang w:val="en-US" w:eastAsia="zh-CN"/>
        </w:rPr>
        <w:t xml:space="preserve">United Nations; an international organization whose </w:t>
      </w:r>
      <w:r>
        <w:rPr>
          <w:rFonts w:eastAsia="Calibri" w:cs="Times New Roman"/>
          <w:color w:val="000000" w:themeColor="text1"/>
          <w:szCs w:val="24"/>
          <w:lang w:val="en-US" w:eastAsia="zh-CN"/>
        </w:rPr>
        <w:t>goal</w:t>
      </w:r>
      <w:r w:rsidRPr="009A3656">
        <w:rPr>
          <w:rFonts w:eastAsia="Calibri" w:cs="Times New Roman"/>
          <w:color w:val="000000" w:themeColor="text1"/>
          <w:szCs w:val="24"/>
          <w:lang w:val="en-US" w:eastAsia="zh-CN"/>
        </w:rPr>
        <w:t xml:space="preserve"> is to maintain and strengthen international peace and security and to promote </w:t>
      </w:r>
      <w:r>
        <w:rPr>
          <w:rFonts w:eastAsia="Calibri" w:cs="Times New Roman"/>
          <w:color w:val="000000" w:themeColor="text1"/>
          <w:szCs w:val="24"/>
          <w:lang w:val="en-US" w:eastAsia="zh-CN"/>
        </w:rPr>
        <w:t xml:space="preserve">international </w:t>
      </w:r>
      <w:r w:rsidRPr="009A3656">
        <w:rPr>
          <w:rFonts w:eastAsia="Calibri" w:cs="Times New Roman"/>
          <w:color w:val="000000" w:themeColor="text1"/>
          <w:szCs w:val="24"/>
          <w:lang w:val="en-US" w:eastAsia="zh-CN"/>
        </w:rPr>
        <w:t>cooperation</w:t>
      </w:r>
      <w:r>
        <w:rPr>
          <w:rFonts w:eastAsia="Calibri" w:cs="Times New Roman"/>
          <w:color w:val="000000" w:themeColor="text1"/>
          <w:szCs w:val="24"/>
          <w:lang w:val="en-US" w:eastAsia="zh-CN"/>
        </w:rPr>
        <w:t>.</w:t>
      </w:r>
    </w:p>
    <w:p w14:paraId="1E0FA5BB" w14:textId="3D60E94C" w:rsidR="00F2456E" w:rsidRPr="009A3656" w:rsidRDefault="009A3656" w:rsidP="00F2456E">
      <w:pPr>
        <w:spacing w:after="0" w:line="240" w:lineRule="auto"/>
        <w:contextualSpacing/>
        <w:jc w:val="both"/>
        <w:rPr>
          <w:rFonts w:eastAsia="Calibri" w:cs="Times New Roman"/>
          <w:color w:val="000000" w:themeColor="text1"/>
          <w:lang w:val="en-US" w:eastAsia="zh-CN"/>
        </w:rPr>
      </w:pPr>
      <w:r>
        <w:rPr>
          <w:rFonts w:eastAsia="Calibri" w:cs="Times New Roman"/>
          <w:b/>
          <w:color w:val="000000" w:themeColor="text1"/>
          <w:lang w:val="en-US" w:eastAsia="zh-CN"/>
        </w:rPr>
        <w:t>RoK</w:t>
      </w:r>
      <w:r w:rsidR="00F2456E" w:rsidRPr="009A3656">
        <w:rPr>
          <w:rFonts w:eastAsia="Calibri" w:cs="Times New Roman"/>
          <w:b/>
          <w:color w:val="000000" w:themeColor="text1"/>
          <w:lang w:val="en-US" w:eastAsia="zh-CN"/>
        </w:rPr>
        <w:t xml:space="preserve"> </w:t>
      </w:r>
      <w:r w:rsidRPr="009A3656">
        <w:rPr>
          <w:rFonts w:eastAsia="Calibri" w:cs="Times New Roman"/>
          <w:bCs/>
          <w:color w:val="000000" w:themeColor="text1"/>
          <w:lang w:val="en-US" w:eastAsia="zh-CN"/>
        </w:rPr>
        <w:t>means the Republic of Kazakhstan</w:t>
      </w:r>
      <w:r>
        <w:rPr>
          <w:rFonts w:eastAsia="Calibri" w:cs="Times New Roman"/>
          <w:b/>
          <w:color w:val="000000" w:themeColor="text1"/>
          <w:lang w:val="en-US" w:eastAsia="zh-CN"/>
        </w:rPr>
        <w:t>.</w:t>
      </w:r>
    </w:p>
    <w:p w14:paraId="5955C2C3" w14:textId="12EACC81" w:rsidR="00F2456E" w:rsidRPr="009A3656" w:rsidRDefault="009A3656" w:rsidP="00F2456E">
      <w:pPr>
        <w:spacing w:after="0" w:line="240" w:lineRule="auto"/>
        <w:contextualSpacing/>
        <w:jc w:val="both"/>
        <w:rPr>
          <w:rFonts w:eastAsia="Calibri" w:cs="Times New Roman"/>
          <w:b/>
          <w:color w:val="000000" w:themeColor="text1"/>
          <w:lang w:val="en-US" w:eastAsia="zh-CN"/>
        </w:rPr>
      </w:pPr>
      <w:r w:rsidRPr="009A3656">
        <w:rPr>
          <w:rFonts w:eastAsia="Calibri" w:cs="Times New Roman"/>
          <w:b/>
          <w:color w:val="000000" w:themeColor="text1"/>
          <w:lang w:val="en-US" w:eastAsia="zh-CN"/>
        </w:rPr>
        <w:t xml:space="preserve">Transition risks </w:t>
      </w:r>
      <w:r w:rsidRPr="009A3656">
        <w:rPr>
          <w:rFonts w:eastAsia="Calibri" w:cs="Times New Roman"/>
          <w:bCs/>
          <w:color w:val="000000" w:themeColor="text1"/>
          <w:lang w:val="en-US" w:eastAsia="zh-CN"/>
        </w:rPr>
        <w:t>mean risks associated with transition to a low-carbon economy</w:t>
      </w:r>
      <w:r>
        <w:rPr>
          <w:rFonts w:eastAsia="Calibri" w:cs="Times New Roman"/>
          <w:b/>
          <w:color w:val="000000" w:themeColor="text1"/>
          <w:lang w:val="en-US" w:eastAsia="zh-CN"/>
        </w:rPr>
        <w:t>.</w:t>
      </w:r>
    </w:p>
    <w:p w14:paraId="4A1D85C9" w14:textId="2F17B4B2" w:rsidR="00F2456E" w:rsidRPr="009A3656" w:rsidRDefault="009A3656" w:rsidP="00F2456E">
      <w:pPr>
        <w:spacing w:after="0" w:line="240" w:lineRule="auto"/>
        <w:contextualSpacing/>
        <w:jc w:val="both"/>
        <w:rPr>
          <w:rStyle w:val="s19"/>
          <w:color w:val="000000" w:themeColor="text1"/>
          <w:lang w:val="en-US"/>
        </w:rPr>
      </w:pPr>
      <w:r w:rsidRPr="009A3656">
        <w:rPr>
          <w:rStyle w:val="s19"/>
          <w:b/>
          <w:bCs/>
          <w:color w:val="000000" w:themeColor="text1"/>
          <w:lang w:val="en-US"/>
        </w:rPr>
        <w:t xml:space="preserve">Environmental and Social Risk Management System (ESMS) </w:t>
      </w:r>
      <w:r w:rsidRPr="009A3656">
        <w:rPr>
          <w:rStyle w:val="s19"/>
          <w:color w:val="000000" w:themeColor="text1"/>
          <w:lang w:val="en-US"/>
        </w:rPr>
        <w:t xml:space="preserve">means a set of policies, procedures, </w:t>
      </w:r>
      <w:r w:rsidR="00AA554A" w:rsidRPr="009A3656">
        <w:rPr>
          <w:rStyle w:val="s19"/>
          <w:color w:val="000000" w:themeColor="text1"/>
          <w:lang w:val="en-US"/>
        </w:rPr>
        <w:t>tools,</w:t>
      </w:r>
      <w:r w:rsidRPr="009A3656">
        <w:rPr>
          <w:rStyle w:val="s19"/>
          <w:color w:val="000000" w:themeColor="text1"/>
          <w:lang w:val="en-US"/>
        </w:rPr>
        <w:t xml:space="preserve"> and internal resources intended to identify and manage environmental and social risks in lending to the Bank borrowers.</w:t>
      </w:r>
    </w:p>
    <w:p w14:paraId="69A24CC7" w14:textId="7869D187" w:rsidR="00F2456E" w:rsidRPr="009A3656" w:rsidRDefault="009A3656" w:rsidP="00F2456E">
      <w:pPr>
        <w:pStyle w:val="pj"/>
        <w:ind w:firstLine="0"/>
        <w:rPr>
          <w:rStyle w:val="s19"/>
          <w:color w:val="000000" w:themeColor="text1"/>
          <w:lang w:val="en-US"/>
        </w:rPr>
      </w:pPr>
      <w:r w:rsidRPr="009A3656">
        <w:rPr>
          <w:rStyle w:val="s19"/>
          <w:b/>
          <w:bCs/>
          <w:color w:val="000000" w:themeColor="text1"/>
          <w:lang w:val="en-US"/>
        </w:rPr>
        <w:t xml:space="preserve">Social </w:t>
      </w:r>
      <w:r w:rsidR="00F67602">
        <w:rPr>
          <w:rStyle w:val="s19"/>
          <w:b/>
          <w:bCs/>
          <w:color w:val="000000" w:themeColor="text1"/>
          <w:lang w:val="en-US"/>
        </w:rPr>
        <w:t>r</w:t>
      </w:r>
      <w:r w:rsidRPr="009A3656">
        <w:rPr>
          <w:rStyle w:val="s19"/>
          <w:b/>
          <w:bCs/>
          <w:color w:val="000000" w:themeColor="text1"/>
          <w:lang w:val="en-US"/>
        </w:rPr>
        <w:t>isks</w:t>
      </w:r>
      <w:r>
        <w:rPr>
          <w:rStyle w:val="s19"/>
          <w:b/>
          <w:bCs/>
          <w:color w:val="000000" w:themeColor="text1"/>
          <w:lang w:val="en-US"/>
        </w:rPr>
        <w:t xml:space="preserve"> </w:t>
      </w:r>
      <w:r w:rsidRPr="00F67602">
        <w:rPr>
          <w:rStyle w:val="s19"/>
          <w:color w:val="000000" w:themeColor="text1"/>
          <w:lang w:val="en-US"/>
        </w:rPr>
        <w:t>mean probability of losses arising from interaction with society, including customers, suppliers and other stakeholders</w:t>
      </w:r>
      <w:r w:rsidRPr="009A3656">
        <w:rPr>
          <w:rStyle w:val="s19"/>
          <w:b/>
          <w:bCs/>
          <w:color w:val="000000" w:themeColor="text1"/>
          <w:lang w:val="en-US"/>
        </w:rPr>
        <w:t>;</w:t>
      </w:r>
    </w:p>
    <w:p w14:paraId="1268698E" w14:textId="75B11BC5" w:rsidR="00F2456E" w:rsidRPr="00F67602" w:rsidRDefault="00F67602" w:rsidP="00F2456E">
      <w:pPr>
        <w:spacing w:after="0" w:line="240" w:lineRule="auto"/>
        <w:contextualSpacing/>
        <w:jc w:val="both"/>
        <w:rPr>
          <w:rFonts w:cs="Times New Roman"/>
          <w:color w:val="000000" w:themeColor="text1"/>
          <w:lang w:val="en-US"/>
        </w:rPr>
      </w:pPr>
      <w:r>
        <w:rPr>
          <w:rStyle w:val="s19"/>
          <w:b/>
          <w:bCs/>
          <w:color w:val="000000" w:themeColor="text1"/>
          <w:lang w:val="en-US"/>
        </w:rPr>
        <w:t>Exclusion</w:t>
      </w:r>
      <w:r w:rsidRPr="00F67602">
        <w:rPr>
          <w:rStyle w:val="s19"/>
          <w:b/>
          <w:bCs/>
          <w:color w:val="000000" w:themeColor="text1"/>
          <w:lang w:val="en-US"/>
        </w:rPr>
        <w:t xml:space="preserve"> </w:t>
      </w:r>
      <w:r>
        <w:rPr>
          <w:rStyle w:val="s19"/>
          <w:b/>
          <w:bCs/>
          <w:color w:val="000000" w:themeColor="text1"/>
          <w:lang w:val="en-US"/>
        </w:rPr>
        <w:t>List</w:t>
      </w:r>
      <w:r w:rsidR="00F2456E" w:rsidRPr="00F67602">
        <w:rPr>
          <w:rStyle w:val="s19"/>
          <w:color w:val="000000" w:themeColor="text1"/>
          <w:lang w:val="en-US"/>
        </w:rPr>
        <w:t xml:space="preserve"> </w:t>
      </w:r>
      <w:r>
        <w:rPr>
          <w:rStyle w:val="s19"/>
          <w:color w:val="000000" w:themeColor="text1"/>
          <w:lang w:val="en-US"/>
        </w:rPr>
        <w:t>means</w:t>
      </w:r>
      <w:r w:rsidRPr="00F67602">
        <w:rPr>
          <w:lang w:val="en-US"/>
        </w:rPr>
        <w:t xml:space="preserve"> </w:t>
      </w:r>
      <w:r w:rsidRPr="00F67602">
        <w:rPr>
          <w:rStyle w:val="s19"/>
          <w:color w:val="000000" w:themeColor="text1"/>
          <w:lang w:val="en-US"/>
        </w:rPr>
        <w:t>a list of activities not</w:t>
      </w:r>
      <w:r>
        <w:rPr>
          <w:rStyle w:val="s19"/>
          <w:color w:val="000000" w:themeColor="text1"/>
          <w:lang w:val="en-US"/>
        </w:rPr>
        <w:t xml:space="preserve"> funded by</w:t>
      </w:r>
      <w:r w:rsidRPr="00F67602">
        <w:rPr>
          <w:rStyle w:val="s19"/>
          <w:color w:val="000000" w:themeColor="text1"/>
          <w:lang w:val="en-US"/>
        </w:rPr>
        <w:t xml:space="preserve"> financial </w:t>
      </w:r>
      <w:r>
        <w:rPr>
          <w:rStyle w:val="s19"/>
          <w:color w:val="000000" w:themeColor="text1"/>
          <w:lang w:val="en-US"/>
        </w:rPr>
        <w:t>institutions;</w:t>
      </w:r>
    </w:p>
    <w:p w14:paraId="4AA61858" w14:textId="2EC8D58F" w:rsidR="00F2456E" w:rsidRPr="00F67602" w:rsidRDefault="00F67602" w:rsidP="00F2456E">
      <w:pPr>
        <w:spacing w:after="0" w:line="240" w:lineRule="auto"/>
        <w:contextualSpacing/>
        <w:jc w:val="both"/>
        <w:rPr>
          <w:rFonts w:eastAsia="Calibri" w:cs="Times New Roman"/>
          <w:color w:val="000000" w:themeColor="text1"/>
          <w:szCs w:val="24"/>
          <w:lang w:val="en-US" w:eastAsia="zh-CN"/>
        </w:rPr>
      </w:pPr>
      <w:r w:rsidRPr="00F67602">
        <w:rPr>
          <w:rFonts w:eastAsia="Calibri" w:cs="Times New Roman"/>
          <w:b/>
          <w:color w:val="000000" w:themeColor="text1"/>
          <w:szCs w:val="24"/>
          <w:lang w:val="en-US" w:eastAsia="zh-CN"/>
        </w:rPr>
        <w:t xml:space="preserve">Carbon footprint </w:t>
      </w:r>
      <w:r w:rsidRPr="00F67602">
        <w:rPr>
          <w:rFonts w:eastAsia="Calibri" w:cs="Times New Roman"/>
          <w:bCs/>
          <w:color w:val="000000" w:themeColor="text1"/>
          <w:szCs w:val="24"/>
          <w:lang w:val="en-US" w:eastAsia="zh-CN"/>
        </w:rPr>
        <w:t>means an amount of greenhouse gas emissions generated by a particular human or business activity</w:t>
      </w:r>
      <w:r>
        <w:rPr>
          <w:rFonts w:eastAsia="Calibri" w:cs="Times New Roman"/>
          <w:b/>
          <w:color w:val="000000" w:themeColor="text1"/>
          <w:szCs w:val="24"/>
          <w:lang w:val="en-US" w:eastAsia="zh-CN"/>
        </w:rPr>
        <w:t>.</w:t>
      </w:r>
    </w:p>
    <w:p w14:paraId="6100C4CE" w14:textId="4955F0A5" w:rsidR="00F2456E" w:rsidRPr="00F67602" w:rsidRDefault="00F67602" w:rsidP="00F2456E">
      <w:pPr>
        <w:spacing w:after="0" w:line="240" w:lineRule="auto"/>
        <w:contextualSpacing/>
        <w:jc w:val="both"/>
        <w:rPr>
          <w:rFonts w:eastAsia="Calibri" w:cs="Times New Roman"/>
          <w:b/>
          <w:color w:val="000000" w:themeColor="text1"/>
          <w:szCs w:val="24"/>
          <w:lang w:val="en-US" w:eastAsia="zh-CN"/>
        </w:rPr>
      </w:pPr>
      <w:r w:rsidRPr="00F67602">
        <w:rPr>
          <w:rFonts w:eastAsia="Calibri" w:cs="Times New Roman"/>
          <w:b/>
          <w:color w:val="000000" w:themeColor="text1"/>
          <w:szCs w:val="24"/>
          <w:lang w:val="en-US" w:eastAsia="zh-CN"/>
        </w:rPr>
        <w:t xml:space="preserve">Sustainable </w:t>
      </w:r>
      <w:r>
        <w:rPr>
          <w:rFonts w:eastAsia="Calibri" w:cs="Times New Roman"/>
          <w:b/>
          <w:color w:val="000000" w:themeColor="text1"/>
          <w:szCs w:val="24"/>
          <w:lang w:val="en-US" w:eastAsia="zh-CN"/>
        </w:rPr>
        <w:t>loan</w:t>
      </w:r>
      <w:r w:rsidRPr="00F67602">
        <w:rPr>
          <w:rFonts w:eastAsia="Calibri" w:cs="Times New Roman"/>
          <w:b/>
          <w:color w:val="000000" w:themeColor="text1"/>
          <w:szCs w:val="24"/>
          <w:lang w:val="en-US" w:eastAsia="zh-CN"/>
        </w:rPr>
        <w:t xml:space="preserve"> </w:t>
      </w:r>
      <w:r>
        <w:rPr>
          <w:rFonts w:eastAsia="Calibri" w:cs="Times New Roman"/>
          <w:b/>
          <w:color w:val="000000" w:themeColor="text1"/>
          <w:szCs w:val="24"/>
          <w:lang w:val="en-US" w:eastAsia="zh-CN"/>
        </w:rPr>
        <w:t>p</w:t>
      </w:r>
      <w:r w:rsidRPr="00F67602">
        <w:rPr>
          <w:rFonts w:eastAsia="Calibri" w:cs="Times New Roman"/>
          <w:b/>
          <w:color w:val="000000" w:themeColor="text1"/>
          <w:szCs w:val="24"/>
          <w:lang w:val="en-US" w:eastAsia="zh-CN"/>
        </w:rPr>
        <w:t xml:space="preserve">roducts </w:t>
      </w:r>
      <w:r w:rsidRPr="00F67602">
        <w:rPr>
          <w:rFonts w:eastAsia="Calibri" w:cs="Times New Roman"/>
          <w:bCs/>
          <w:color w:val="000000" w:themeColor="text1"/>
          <w:szCs w:val="24"/>
          <w:lang w:val="en-US" w:eastAsia="zh-CN"/>
        </w:rPr>
        <w:t xml:space="preserve">mean loan products encouraging </w:t>
      </w:r>
      <w:r w:rsidR="002E5166">
        <w:rPr>
          <w:rFonts w:eastAsia="Calibri" w:cs="Times New Roman"/>
          <w:bCs/>
          <w:color w:val="000000" w:themeColor="text1"/>
          <w:szCs w:val="24"/>
          <w:lang w:val="en-US" w:eastAsia="zh-CN"/>
        </w:rPr>
        <w:t xml:space="preserve">customers to </w:t>
      </w:r>
      <w:r w:rsidRPr="00F67602">
        <w:rPr>
          <w:rFonts w:eastAsia="Calibri" w:cs="Times New Roman"/>
          <w:bCs/>
          <w:color w:val="000000" w:themeColor="text1"/>
          <w:szCs w:val="24"/>
          <w:lang w:val="en-US" w:eastAsia="zh-CN"/>
        </w:rPr>
        <w:t>mitigat</w:t>
      </w:r>
      <w:r w:rsidR="002E5166">
        <w:rPr>
          <w:rFonts w:eastAsia="Calibri" w:cs="Times New Roman"/>
          <w:bCs/>
          <w:color w:val="000000" w:themeColor="text1"/>
          <w:szCs w:val="24"/>
          <w:lang w:val="en-US" w:eastAsia="zh-CN"/>
        </w:rPr>
        <w:t>e</w:t>
      </w:r>
      <w:r w:rsidRPr="00F67602">
        <w:rPr>
          <w:rFonts w:eastAsia="Calibri" w:cs="Times New Roman"/>
          <w:bCs/>
          <w:color w:val="000000" w:themeColor="text1"/>
          <w:szCs w:val="24"/>
          <w:lang w:val="en-US" w:eastAsia="zh-CN"/>
        </w:rPr>
        <w:t xml:space="preserve"> and adopt</w:t>
      </w:r>
      <w:r w:rsidR="002E5166">
        <w:rPr>
          <w:rFonts w:eastAsia="Calibri" w:cs="Times New Roman"/>
          <w:bCs/>
          <w:color w:val="000000" w:themeColor="text1"/>
          <w:szCs w:val="24"/>
          <w:lang w:val="en-US" w:eastAsia="zh-CN"/>
        </w:rPr>
        <w:t xml:space="preserve"> </w:t>
      </w:r>
      <w:r w:rsidRPr="00F67602">
        <w:rPr>
          <w:rFonts w:eastAsia="Calibri" w:cs="Times New Roman"/>
          <w:bCs/>
          <w:color w:val="000000" w:themeColor="text1"/>
          <w:szCs w:val="24"/>
          <w:lang w:val="en-US" w:eastAsia="zh-CN"/>
        </w:rPr>
        <w:t>sustainability practices</w:t>
      </w:r>
      <w:r>
        <w:rPr>
          <w:rFonts w:eastAsia="Calibri" w:cs="Times New Roman"/>
          <w:b/>
          <w:color w:val="000000" w:themeColor="text1"/>
          <w:szCs w:val="24"/>
          <w:lang w:val="en-US" w:eastAsia="zh-CN"/>
        </w:rPr>
        <w:t>.</w:t>
      </w:r>
    </w:p>
    <w:p w14:paraId="758AEEB2" w14:textId="4749E592" w:rsidR="00F2456E" w:rsidRPr="00F67602" w:rsidRDefault="00F67602" w:rsidP="00F2456E">
      <w:pPr>
        <w:spacing w:after="0" w:line="240" w:lineRule="auto"/>
        <w:contextualSpacing/>
        <w:jc w:val="both"/>
        <w:rPr>
          <w:rStyle w:val="s19"/>
          <w:rFonts w:eastAsia="Calibri"/>
          <w:bCs/>
          <w:color w:val="000000" w:themeColor="text1"/>
          <w:szCs w:val="24"/>
          <w:lang w:val="en-US" w:eastAsia="zh-CN"/>
        </w:rPr>
      </w:pPr>
      <w:r w:rsidRPr="00F67602">
        <w:rPr>
          <w:rFonts w:eastAsia="Calibri" w:cs="Times New Roman"/>
          <w:b/>
          <w:color w:val="000000" w:themeColor="text1"/>
          <w:szCs w:val="24"/>
          <w:lang w:val="en-US" w:eastAsia="zh-CN"/>
        </w:rPr>
        <w:t>Sustainable financ</w:t>
      </w:r>
      <w:r>
        <w:rPr>
          <w:rFonts w:eastAsia="Calibri" w:cs="Times New Roman"/>
          <w:b/>
          <w:color w:val="000000" w:themeColor="text1"/>
          <w:szCs w:val="24"/>
          <w:lang w:val="en-US" w:eastAsia="zh-CN"/>
        </w:rPr>
        <w:t>e</w:t>
      </w:r>
      <w:r w:rsidRPr="00F67602">
        <w:rPr>
          <w:rFonts w:eastAsia="Calibri" w:cs="Times New Roman"/>
          <w:b/>
          <w:color w:val="000000" w:themeColor="text1"/>
          <w:szCs w:val="24"/>
          <w:lang w:val="en-US" w:eastAsia="zh-CN"/>
        </w:rPr>
        <w:t xml:space="preserve"> </w:t>
      </w:r>
      <w:r w:rsidRPr="00F67602">
        <w:rPr>
          <w:rFonts w:eastAsia="Calibri" w:cs="Times New Roman"/>
          <w:bCs/>
          <w:color w:val="000000" w:themeColor="text1"/>
          <w:szCs w:val="24"/>
          <w:lang w:val="en-US" w:eastAsia="zh-CN"/>
        </w:rPr>
        <w:t>means consideration in the Bank’s lending activities of environmental and social risks associated with the financed projects and customers, and establishment of adequate systems to manage such risks, as well as financing of socially and environmentally significant projects.</w:t>
      </w:r>
    </w:p>
    <w:p w14:paraId="6DF41706" w14:textId="63DC21B3" w:rsidR="00F2456E" w:rsidRPr="002E5166" w:rsidRDefault="00F2456E" w:rsidP="00F2456E">
      <w:pPr>
        <w:pStyle w:val="pj"/>
        <w:ind w:firstLine="0"/>
        <w:rPr>
          <w:color w:val="000000" w:themeColor="text1"/>
          <w:lang w:val="en-US"/>
        </w:rPr>
      </w:pPr>
      <w:r w:rsidRPr="002E5166">
        <w:rPr>
          <w:rStyle w:val="s19"/>
          <w:b/>
          <w:bCs/>
          <w:color w:val="000000" w:themeColor="text1"/>
          <w:lang w:val="en-US"/>
        </w:rPr>
        <w:t>ESG</w:t>
      </w:r>
      <w:r w:rsidRPr="002E5166">
        <w:rPr>
          <w:rStyle w:val="s19"/>
          <w:color w:val="000000" w:themeColor="text1"/>
          <w:lang w:val="en-US"/>
        </w:rPr>
        <w:t xml:space="preserve"> </w:t>
      </w:r>
      <w:r w:rsidR="00F67602">
        <w:rPr>
          <w:rStyle w:val="s19"/>
          <w:color w:val="000000" w:themeColor="text1"/>
          <w:lang w:val="en-US"/>
        </w:rPr>
        <w:t>factors</w:t>
      </w:r>
      <w:r w:rsidR="00F67602" w:rsidRPr="002E5166">
        <w:rPr>
          <w:rStyle w:val="s19"/>
          <w:color w:val="000000" w:themeColor="text1"/>
          <w:lang w:val="en-US"/>
        </w:rPr>
        <w:t xml:space="preserve"> </w:t>
      </w:r>
      <w:r w:rsidR="00F67602">
        <w:rPr>
          <w:rStyle w:val="s19"/>
          <w:color w:val="000000" w:themeColor="text1"/>
          <w:lang w:val="en-US"/>
        </w:rPr>
        <w:t>mean</w:t>
      </w:r>
      <w:r w:rsidRPr="002E5166">
        <w:rPr>
          <w:rStyle w:val="s19"/>
          <w:color w:val="000000" w:themeColor="text1"/>
          <w:lang w:val="en-US"/>
        </w:rPr>
        <w:t xml:space="preserve"> </w:t>
      </w:r>
      <w:r w:rsidR="002E5166" w:rsidRPr="00846947">
        <w:rPr>
          <w:lang w:val="kk-KZ"/>
        </w:rPr>
        <w:t>environmental</w:t>
      </w:r>
      <w:r w:rsidR="002E5166" w:rsidRPr="002E5166">
        <w:rPr>
          <w:rStyle w:val="s19"/>
          <w:color w:val="000000" w:themeColor="text1"/>
          <w:lang w:val="en-US"/>
        </w:rPr>
        <w:t xml:space="preserve">, </w:t>
      </w:r>
      <w:r w:rsidR="002E5166">
        <w:rPr>
          <w:rStyle w:val="s19"/>
          <w:color w:val="000000" w:themeColor="text1"/>
          <w:lang w:val="en-US"/>
        </w:rPr>
        <w:t>social</w:t>
      </w:r>
      <w:r w:rsidR="002E5166" w:rsidRPr="002E5166">
        <w:rPr>
          <w:rStyle w:val="s19"/>
          <w:color w:val="000000" w:themeColor="text1"/>
          <w:lang w:val="en-US"/>
        </w:rPr>
        <w:t xml:space="preserve"> </w:t>
      </w:r>
      <w:r w:rsidR="002E5166">
        <w:rPr>
          <w:rStyle w:val="s19"/>
          <w:color w:val="000000" w:themeColor="text1"/>
          <w:lang w:val="en-US"/>
        </w:rPr>
        <w:t>and</w:t>
      </w:r>
      <w:r w:rsidR="002E5166" w:rsidRPr="002E5166">
        <w:rPr>
          <w:rStyle w:val="s19"/>
          <w:color w:val="000000" w:themeColor="text1"/>
          <w:lang w:val="en-US"/>
        </w:rPr>
        <w:t xml:space="preserve"> </w:t>
      </w:r>
      <w:r w:rsidR="002E5166">
        <w:rPr>
          <w:rStyle w:val="s19"/>
          <w:color w:val="000000" w:themeColor="text1"/>
          <w:lang w:val="en-US"/>
        </w:rPr>
        <w:t>governance</w:t>
      </w:r>
      <w:r w:rsidR="002E5166" w:rsidRPr="002E5166">
        <w:rPr>
          <w:rStyle w:val="s19"/>
          <w:color w:val="000000" w:themeColor="text1"/>
          <w:lang w:val="en-US"/>
        </w:rPr>
        <w:t xml:space="preserve"> </w:t>
      </w:r>
      <w:r w:rsidR="002E5166">
        <w:rPr>
          <w:rStyle w:val="s19"/>
          <w:color w:val="000000" w:themeColor="text1"/>
          <w:lang w:val="en-US"/>
        </w:rPr>
        <w:t>factors</w:t>
      </w:r>
      <w:r w:rsidR="002E5166" w:rsidRPr="002E5166">
        <w:rPr>
          <w:rStyle w:val="s19"/>
          <w:color w:val="000000" w:themeColor="text1"/>
          <w:lang w:val="en-US"/>
        </w:rPr>
        <w:t xml:space="preserve"> </w:t>
      </w:r>
      <w:r w:rsidR="002E5166">
        <w:rPr>
          <w:rStyle w:val="s19"/>
          <w:color w:val="000000" w:themeColor="text1"/>
          <w:lang w:val="en-US"/>
        </w:rPr>
        <w:t>affecting</w:t>
      </w:r>
      <w:r w:rsidR="002E5166" w:rsidRPr="002E5166">
        <w:rPr>
          <w:rStyle w:val="s19"/>
          <w:color w:val="000000" w:themeColor="text1"/>
          <w:lang w:val="en-US"/>
        </w:rPr>
        <w:t xml:space="preserve"> </w:t>
      </w:r>
      <w:r w:rsidR="002E5166">
        <w:rPr>
          <w:rStyle w:val="s19"/>
          <w:color w:val="000000" w:themeColor="text1"/>
          <w:lang w:val="en-US"/>
        </w:rPr>
        <w:t>the Bank’s profit and loss.</w:t>
      </w:r>
    </w:p>
    <w:p w14:paraId="482444D4" w14:textId="0AA39DEB" w:rsidR="00F2456E" w:rsidRPr="002E5166" w:rsidRDefault="002E5166" w:rsidP="00F2456E">
      <w:pPr>
        <w:spacing w:after="0" w:line="240" w:lineRule="auto"/>
        <w:contextualSpacing/>
        <w:jc w:val="both"/>
        <w:rPr>
          <w:rFonts w:eastAsia="Calibri" w:cs="Times New Roman"/>
          <w:color w:val="000000" w:themeColor="text1"/>
          <w:szCs w:val="24"/>
          <w:lang w:val="en-US" w:eastAsia="zh-CN"/>
        </w:rPr>
      </w:pPr>
      <w:r w:rsidRPr="001727E4">
        <w:rPr>
          <w:rFonts w:eastAsia="Calibri" w:cs="Times New Roman"/>
          <w:b/>
          <w:szCs w:val="24"/>
          <w:lang w:val="en-US" w:eastAsia="zh-CN"/>
        </w:rPr>
        <w:t xml:space="preserve">Physical risks </w:t>
      </w:r>
      <w:r w:rsidRPr="001727E4">
        <w:rPr>
          <w:rFonts w:eastAsia="Calibri" w:cs="Times New Roman"/>
          <w:szCs w:val="24"/>
          <w:lang w:val="en-US" w:eastAsia="zh-CN"/>
        </w:rPr>
        <w:t>mean risks associated with natural phenomena arising from climate change</w:t>
      </w:r>
      <w:r>
        <w:rPr>
          <w:rFonts w:eastAsia="Calibri" w:cs="Times New Roman"/>
          <w:b/>
          <w:color w:val="000000" w:themeColor="text1"/>
          <w:szCs w:val="24"/>
          <w:lang w:val="en-US" w:eastAsia="zh-CN"/>
        </w:rPr>
        <w:t>.</w:t>
      </w:r>
    </w:p>
    <w:p w14:paraId="32715867" w14:textId="5E0CBCF0" w:rsidR="00F2456E" w:rsidRPr="002E5166" w:rsidRDefault="002E5166" w:rsidP="00F2456E">
      <w:pPr>
        <w:spacing w:after="0" w:line="240" w:lineRule="auto"/>
        <w:contextualSpacing/>
        <w:jc w:val="both"/>
        <w:rPr>
          <w:rFonts w:eastAsia="Calibri" w:cs="Times New Roman"/>
          <w:b/>
          <w:color w:val="000000" w:themeColor="text1"/>
          <w:szCs w:val="24"/>
          <w:lang w:val="en-US" w:eastAsia="zh-CN"/>
        </w:rPr>
      </w:pPr>
      <w:r w:rsidRPr="001727E4">
        <w:rPr>
          <w:rFonts w:eastAsia="Calibri" w:cs="Times New Roman"/>
          <w:b/>
          <w:szCs w:val="24"/>
          <w:lang w:val="en-US" w:eastAsia="zh-CN"/>
        </w:rPr>
        <w:t xml:space="preserve">Sustainable Development Goals </w:t>
      </w:r>
      <w:r w:rsidRPr="001727E4">
        <w:rPr>
          <w:rFonts w:eastAsia="Calibri" w:cs="Times New Roman"/>
          <w:szCs w:val="24"/>
          <w:lang w:val="en-US" w:eastAsia="zh-CN"/>
        </w:rPr>
        <w:t>mean gl</w:t>
      </w:r>
      <w:r>
        <w:rPr>
          <w:rFonts w:eastAsia="Calibri" w:cs="Times New Roman"/>
          <w:szCs w:val="24"/>
          <w:lang w:val="en-US" w:eastAsia="zh-CN"/>
        </w:rPr>
        <w:t>obally accepted goals aimed at ending</w:t>
      </w:r>
      <w:r w:rsidRPr="001727E4">
        <w:rPr>
          <w:rFonts w:eastAsia="Calibri" w:cs="Times New Roman"/>
          <w:szCs w:val="24"/>
          <w:lang w:val="en-US" w:eastAsia="zh-CN"/>
        </w:rPr>
        <w:t xml:space="preserve"> poverty, combating inequality and injustice, protecting the </w:t>
      </w:r>
      <w:r w:rsidR="00AA554A" w:rsidRPr="001727E4">
        <w:rPr>
          <w:rFonts w:eastAsia="Calibri" w:cs="Times New Roman"/>
          <w:szCs w:val="24"/>
          <w:lang w:val="en-US" w:eastAsia="zh-CN"/>
        </w:rPr>
        <w:t>planet,</w:t>
      </w:r>
      <w:r w:rsidRPr="001727E4">
        <w:rPr>
          <w:rFonts w:eastAsia="Calibri" w:cs="Times New Roman"/>
          <w:szCs w:val="24"/>
          <w:lang w:val="en-US" w:eastAsia="zh-CN"/>
        </w:rPr>
        <w:t xml:space="preserve"> and ensuring peace and prosperity for all people</w:t>
      </w:r>
      <w:r>
        <w:rPr>
          <w:rFonts w:eastAsia="Calibri" w:cs="Times New Roman"/>
          <w:b/>
          <w:color w:val="000000" w:themeColor="text1"/>
          <w:szCs w:val="24"/>
          <w:lang w:val="en-US" w:eastAsia="zh-CN"/>
        </w:rPr>
        <w:t>.</w:t>
      </w:r>
    </w:p>
    <w:p w14:paraId="415923A9" w14:textId="74816DBC" w:rsidR="00F2456E" w:rsidRPr="002E5166" w:rsidRDefault="002E5166" w:rsidP="00F2456E">
      <w:pPr>
        <w:pStyle w:val="pj"/>
        <w:ind w:firstLine="0"/>
        <w:rPr>
          <w:color w:val="000000" w:themeColor="text1"/>
          <w:lang w:val="en-US"/>
        </w:rPr>
      </w:pPr>
      <w:r w:rsidRPr="002E5166">
        <w:rPr>
          <w:b/>
          <w:bCs/>
          <w:color w:val="000000" w:themeColor="text1"/>
          <w:lang w:val="en-US"/>
        </w:rPr>
        <w:t xml:space="preserve">Environmental risks </w:t>
      </w:r>
      <w:r w:rsidRPr="002E5166">
        <w:rPr>
          <w:color w:val="000000" w:themeColor="text1"/>
          <w:lang w:val="en-US"/>
        </w:rPr>
        <w:t>mean risks of causing environmental damage with significant and irreversible consequences for the natural environment and (or) its individual components, or harm to human life and (or) health</w:t>
      </w:r>
      <w:r>
        <w:rPr>
          <w:b/>
          <w:bCs/>
          <w:color w:val="000000" w:themeColor="text1"/>
          <w:lang w:val="en-US"/>
        </w:rPr>
        <w:t>.</w:t>
      </w:r>
    </w:p>
    <w:p w14:paraId="13B9E5BC" w14:textId="1398015E" w:rsidR="00F2456E" w:rsidRPr="00021CC1" w:rsidRDefault="007E6CD0" w:rsidP="00F2456E">
      <w:pPr>
        <w:spacing w:after="0" w:line="240" w:lineRule="auto"/>
        <w:contextualSpacing/>
        <w:jc w:val="both"/>
        <w:rPr>
          <w:rFonts w:eastAsia="Calibri" w:cs="Times New Roman"/>
          <w:b/>
          <w:szCs w:val="24"/>
          <w:lang w:val="kk-KZ" w:eastAsia="zh-CN"/>
        </w:rPr>
      </w:pPr>
      <w:r>
        <w:rPr>
          <w:rFonts w:eastAsia="Calibri" w:cs="Times New Roman"/>
          <w:b/>
          <w:szCs w:val="24"/>
          <w:lang w:val="en-US" w:eastAsia="zh-CN"/>
        </w:rPr>
        <w:t>E&amp;S risks</w:t>
      </w:r>
      <w:r w:rsidR="00F2456E" w:rsidRPr="007E6CD0">
        <w:rPr>
          <w:rFonts w:eastAsia="Calibri" w:cs="Times New Roman"/>
          <w:b/>
          <w:szCs w:val="24"/>
          <w:lang w:val="en-US" w:eastAsia="zh-CN"/>
        </w:rPr>
        <w:t xml:space="preserve"> </w:t>
      </w:r>
      <w:r>
        <w:rPr>
          <w:rFonts w:eastAsia="Calibri" w:cs="Times New Roman"/>
          <w:bCs/>
          <w:szCs w:val="24"/>
          <w:lang w:val="en-US" w:eastAsia="zh-CN"/>
        </w:rPr>
        <w:t>mean environmental and social risks.</w:t>
      </w:r>
    </w:p>
    <w:p w14:paraId="5DAF20E1" w14:textId="2E26FD6E" w:rsidR="00F2456E" w:rsidRPr="007E6CD0" w:rsidRDefault="00F2456E" w:rsidP="00F2456E">
      <w:pPr>
        <w:spacing w:after="0" w:line="240" w:lineRule="auto"/>
        <w:contextualSpacing/>
        <w:jc w:val="both"/>
        <w:rPr>
          <w:rFonts w:eastAsia="Calibri" w:cs="Times New Roman"/>
          <w:lang w:val="kk-KZ" w:eastAsia="zh-CN"/>
        </w:rPr>
      </w:pPr>
      <w:r w:rsidRPr="007E6CD0">
        <w:rPr>
          <w:rFonts w:eastAsia="Calibri" w:cs="Times New Roman"/>
          <w:b/>
          <w:szCs w:val="24"/>
          <w:lang w:val="kk-KZ" w:eastAsia="zh-CN"/>
        </w:rPr>
        <w:t xml:space="preserve">ESG (Environmental, Social, Governance) </w:t>
      </w:r>
      <w:r w:rsidR="007E6CD0" w:rsidRPr="007E6CD0">
        <w:rPr>
          <w:rFonts w:eastAsia="Calibri" w:cs="Times New Roman"/>
          <w:bCs/>
          <w:szCs w:val="24"/>
          <w:lang w:val="kk-KZ" w:eastAsia="zh-CN"/>
        </w:rPr>
        <w:t xml:space="preserve">means the Bank’s approaches to financing, investing and other activities, involving assessment of the following factors </w:t>
      </w:r>
      <w:r w:rsidR="007E6CD0" w:rsidRPr="007E6CD0">
        <w:rPr>
          <w:rFonts w:eastAsia="Calibri" w:cs="Times New Roman"/>
          <w:bCs/>
          <w:szCs w:val="24"/>
          <w:lang w:val="en-US" w:eastAsia="zh-CN"/>
        </w:rPr>
        <w:t>in</w:t>
      </w:r>
      <w:r w:rsidR="007E6CD0" w:rsidRPr="007E6CD0">
        <w:rPr>
          <w:rFonts w:eastAsia="Calibri" w:cs="Times New Roman"/>
          <w:bCs/>
          <w:szCs w:val="24"/>
          <w:lang w:val="kk-KZ" w:eastAsia="zh-CN"/>
        </w:rPr>
        <w:t xml:space="preserve"> decision making</w:t>
      </w:r>
      <w:r w:rsidRPr="007E6CD0">
        <w:rPr>
          <w:rFonts w:eastAsia="Calibri" w:cs="Times New Roman"/>
          <w:bCs/>
          <w:lang w:val="kk-KZ" w:eastAsia="zh-CN"/>
        </w:rPr>
        <w:t>:</w:t>
      </w:r>
      <w:r w:rsidRPr="007E6CD0">
        <w:rPr>
          <w:rFonts w:eastAsia="Calibri" w:cs="Times New Roman"/>
          <w:lang w:val="kk-KZ" w:eastAsia="zh-CN"/>
        </w:rPr>
        <w:t xml:space="preserve"> </w:t>
      </w:r>
    </w:p>
    <w:p w14:paraId="228D51CC" w14:textId="6B927D89" w:rsidR="00F2456E" w:rsidRPr="002E5166" w:rsidRDefault="00F2456E" w:rsidP="00F2456E">
      <w:pPr>
        <w:spacing w:after="0" w:line="240" w:lineRule="auto"/>
        <w:contextualSpacing/>
        <w:jc w:val="both"/>
        <w:rPr>
          <w:rFonts w:eastAsia="Calibri" w:cs="Times New Roman"/>
          <w:lang w:val="en-US" w:eastAsia="zh-CN"/>
        </w:rPr>
      </w:pPr>
      <w:r w:rsidRPr="002E5166">
        <w:rPr>
          <w:rFonts w:eastAsia="Calibri" w:cs="Times New Roman"/>
          <w:lang w:val="en-US" w:eastAsia="zh-CN"/>
        </w:rPr>
        <w:t xml:space="preserve">- </w:t>
      </w:r>
      <w:r w:rsidR="002E5166" w:rsidRPr="00846947">
        <w:rPr>
          <w:lang w:val="kk-KZ"/>
        </w:rPr>
        <w:t>environmental and climate factors that determine the Bank</w:t>
      </w:r>
      <w:r w:rsidR="002E5166">
        <w:rPr>
          <w:lang w:val="en-US"/>
        </w:rPr>
        <w:t>’</w:t>
      </w:r>
      <w:r w:rsidR="002E5166" w:rsidRPr="00846947">
        <w:rPr>
          <w:lang w:val="kk-KZ"/>
        </w:rPr>
        <w:t>s role in protecting the environment and in the global and national climate agenda</w:t>
      </w:r>
      <w:r w:rsidRPr="002E5166">
        <w:rPr>
          <w:rFonts w:eastAsia="Calibri" w:cs="Times New Roman"/>
          <w:lang w:val="en-US" w:eastAsia="zh-CN"/>
        </w:rPr>
        <w:t xml:space="preserve">; </w:t>
      </w:r>
    </w:p>
    <w:p w14:paraId="2287D4D4" w14:textId="6EAC584E" w:rsidR="00F2456E" w:rsidRPr="002E5166" w:rsidRDefault="00F2456E" w:rsidP="00F2456E">
      <w:pPr>
        <w:spacing w:after="0" w:line="240" w:lineRule="auto"/>
        <w:contextualSpacing/>
        <w:jc w:val="both"/>
        <w:rPr>
          <w:rFonts w:eastAsia="Calibri" w:cs="Times New Roman"/>
          <w:lang w:val="en-US" w:eastAsia="zh-CN"/>
        </w:rPr>
      </w:pPr>
      <w:r w:rsidRPr="002E5166">
        <w:rPr>
          <w:rFonts w:eastAsia="Calibri" w:cs="Times New Roman"/>
          <w:lang w:val="en-US" w:eastAsia="zh-CN"/>
        </w:rPr>
        <w:t xml:space="preserve">- </w:t>
      </w:r>
      <w:r w:rsidR="002E5166" w:rsidRPr="00846947">
        <w:rPr>
          <w:lang w:val="kk-KZ"/>
        </w:rPr>
        <w:t>social factors that determine approaches to relations with employees, suppliers, customers and society</w:t>
      </w:r>
      <w:r w:rsidRPr="002E5166">
        <w:rPr>
          <w:rFonts w:eastAsia="Calibri" w:cs="Times New Roman"/>
          <w:lang w:val="en-US" w:eastAsia="zh-CN"/>
        </w:rPr>
        <w:t xml:space="preserve">; </w:t>
      </w:r>
    </w:p>
    <w:p w14:paraId="4FFC9B10" w14:textId="24C5503F" w:rsidR="00F2456E" w:rsidRPr="002E5166" w:rsidRDefault="00F2456E" w:rsidP="00F2456E">
      <w:pPr>
        <w:spacing w:after="0" w:line="240" w:lineRule="auto"/>
        <w:contextualSpacing/>
        <w:jc w:val="both"/>
        <w:rPr>
          <w:rFonts w:eastAsia="Calibri" w:cs="Times New Roman"/>
          <w:lang w:val="en-US" w:eastAsia="zh-CN"/>
        </w:rPr>
      </w:pPr>
      <w:r w:rsidRPr="002E5166">
        <w:rPr>
          <w:rFonts w:eastAsia="Calibri" w:cs="Times New Roman"/>
          <w:lang w:val="en-US" w:eastAsia="zh-CN"/>
        </w:rPr>
        <w:lastRenderedPageBreak/>
        <w:t xml:space="preserve">- </w:t>
      </w:r>
      <w:r w:rsidR="002E5166" w:rsidRPr="00846947">
        <w:rPr>
          <w:lang w:val="kk-KZ"/>
        </w:rPr>
        <w:t>corporate governance factors</w:t>
      </w:r>
      <w:r w:rsidR="002E5166">
        <w:rPr>
          <w:lang w:val="en-US"/>
        </w:rPr>
        <w:t xml:space="preserve"> that</w:t>
      </w:r>
      <w:r w:rsidR="002E5166" w:rsidRPr="00846947">
        <w:rPr>
          <w:lang w:val="kk-KZ"/>
        </w:rPr>
        <w:t xml:space="preserve"> reflect approaches to governance in terms of the Bank</w:t>
      </w:r>
      <w:r w:rsidR="002E5166">
        <w:rPr>
          <w:lang w:val="en-US"/>
        </w:rPr>
        <w:t>’</w:t>
      </w:r>
      <w:r w:rsidR="002E5166" w:rsidRPr="00846947">
        <w:rPr>
          <w:lang w:val="kk-KZ"/>
        </w:rPr>
        <w:t xml:space="preserve">s management, executive remuneration, audit, internal </w:t>
      </w:r>
      <w:r w:rsidR="00AA554A" w:rsidRPr="00846947">
        <w:rPr>
          <w:lang w:val="kk-KZ"/>
        </w:rPr>
        <w:t>control,</w:t>
      </w:r>
      <w:r w:rsidR="002E5166" w:rsidRPr="00846947">
        <w:rPr>
          <w:lang w:val="kk-KZ"/>
        </w:rPr>
        <w:t xml:space="preserve"> and shareholder rights</w:t>
      </w:r>
      <w:r w:rsidR="002E5166">
        <w:rPr>
          <w:rFonts w:eastAsia="Calibri" w:cs="Times New Roman"/>
          <w:lang w:val="en-US" w:eastAsia="zh-CN"/>
        </w:rPr>
        <w:t>.</w:t>
      </w:r>
    </w:p>
    <w:p w14:paraId="50534842" w14:textId="405CF754" w:rsidR="009A3B7C" w:rsidRDefault="00F2456E" w:rsidP="002E5166">
      <w:pPr>
        <w:spacing w:after="0" w:line="240" w:lineRule="auto"/>
        <w:contextualSpacing/>
        <w:jc w:val="both"/>
        <w:rPr>
          <w:rFonts w:cs="Times New Roman"/>
          <w:szCs w:val="24"/>
          <w:lang w:val="kk-KZ"/>
        </w:rPr>
      </w:pPr>
      <w:r w:rsidRPr="00A6178D">
        <w:rPr>
          <w:rFonts w:eastAsia="Calibri" w:cs="Times New Roman"/>
          <w:b/>
          <w:lang w:val="en-US" w:eastAsia="zh-CN"/>
        </w:rPr>
        <w:t>GRI</w:t>
      </w:r>
      <w:r w:rsidRPr="002E5166">
        <w:rPr>
          <w:rFonts w:eastAsia="Calibri" w:cs="Times New Roman"/>
          <w:b/>
          <w:lang w:val="en-US" w:eastAsia="zh-CN"/>
        </w:rPr>
        <w:t xml:space="preserve"> </w:t>
      </w:r>
      <w:r w:rsidR="002E5166" w:rsidRPr="001727E4">
        <w:rPr>
          <w:rFonts w:eastAsia="Calibri" w:cs="Times New Roman"/>
          <w:lang w:val="en-US" w:eastAsia="zh-CN"/>
        </w:rPr>
        <w:t>means Sustainability Reporting Guidelines of the Global Reporting Initiative</w:t>
      </w:r>
      <w:bookmarkEnd w:id="5"/>
      <w:r w:rsidR="002E5166">
        <w:rPr>
          <w:rFonts w:eastAsia="Calibri" w:cs="Times New Roman"/>
          <w:lang w:val="en-US" w:eastAsia="zh-CN"/>
        </w:rPr>
        <w:t>.</w:t>
      </w:r>
    </w:p>
    <w:p w14:paraId="2607ED63" w14:textId="77777777" w:rsidR="009A3B7C" w:rsidRDefault="009A3B7C" w:rsidP="00172AB8">
      <w:pPr>
        <w:pStyle w:val="af5"/>
        <w:jc w:val="center"/>
        <w:rPr>
          <w:rFonts w:ascii="Times New Roman" w:hAnsi="Times New Roman" w:cs="Times New Roman"/>
          <w:sz w:val="24"/>
          <w:szCs w:val="24"/>
          <w:lang w:val="kk-KZ"/>
        </w:rPr>
      </w:pPr>
    </w:p>
    <w:p w14:paraId="192AA78A" w14:textId="77777777" w:rsidR="009A3B7C" w:rsidRDefault="009A3B7C" w:rsidP="00172AB8">
      <w:pPr>
        <w:pStyle w:val="af5"/>
        <w:jc w:val="center"/>
        <w:rPr>
          <w:rFonts w:ascii="Times New Roman" w:hAnsi="Times New Roman" w:cs="Times New Roman"/>
          <w:sz w:val="24"/>
          <w:szCs w:val="24"/>
          <w:lang w:val="kk-KZ"/>
        </w:rPr>
      </w:pPr>
    </w:p>
    <w:sectPr w:rsidR="009A3B7C" w:rsidSect="006634B2">
      <w:headerReference w:type="default" r:id="rId1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536B" w14:textId="77777777" w:rsidR="00C459EE" w:rsidRDefault="00C459EE" w:rsidP="006634B2">
      <w:pPr>
        <w:spacing w:after="0" w:line="240" w:lineRule="auto"/>
      </w:pPr>
      <w:r>
        <w:separator/>
      </w:r>
    </w:p>
  </w:endnote>
  <w:endnote w:type="continuationSeparator" w:id="0">
    <w:p w14:paraId="6A2BE27A" w14:textId="77777777" w:rsidR="00C459EE" w:rsidRDefault="00C459EE" w:rsidP="0066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A8914" w14:textId="77777777" w:rsidR="00C459EE" w:rsidRDefault="00C459EE" w:rsidP="006634B2">
      <w:pPr>
        <w:spacing w:after="0" w:line="240" w:lineRule="auto"/>
      </w:pPr>
      <w:r>
        <w:separator/>
      </w:r>
    </w:p>
  </w:footnote>
  <w:footnote w:type="continuationSeparator" w:id="0">
    <w:p w14:paraId="62F151F7" w14:textId="77777777" w:rsidR="00C459EE" w:rsidRDefault="00C459EE" w:rsidP="0066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348262"/>
      <w:docPartObj>
        <w:docPartGallery w:val="Page Numbers (Top of Page)"/>
        <w:docPartUnique/>
      </w:docPartObj>
    </w:sdtPr>
    <w:sdtContent>
      <w:p w14:paraId="4B0CD29A" w14:textId="77777777" w:rsidR="00D96E12" w:rsidRDefault="005379D9">
        <w:pPr>
          <w:pStyle w:val="a3"/>
          <w:jc w:val="center"/>
        </w:pPr>
        <w:r>
          <w:fldChar w:fldCharType="begin"/>
        </w:r>
        <w:r>
          <w:instrText>PAGE   \* MERGEFORMAT</w:instrText>
        </w:r>
        <w:r>
          <w:fldChar w:fldCharType="separate"/>
        </w:r>
        <w:r>
          <w:rPr>
            <w:noProof/>
          </w:rPr>
          <w:t>5</w:t>
        </w:r>
        <w:r>
          <w:rPr>
            <w:noProof/>
          </w:rPr>
          <w:fldChar w:fldCharType="end"/>
        </w:r>
      </w:p>
    </w:sdtContent>
  </w:sdt>
  <w:p w14:paraId="45F83A42" w14:textId="77777777" w:rsidR="00D96E12" w:rsidRDefault="00D96E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F52"/>
    <w:multiLevelType w:val="hybridMultilevel"/>
    <w:tmpl w:val="502C0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9330D7"/>
    <w:multiLevelType w:val="hybridMultilevel"/>
    <w:tmpl w:val="AA1A512E"/>
    <w:lvl w:ilvl="0" w:tplc="140EB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F4BA4"/>
    <w:multiLevelType w:val="hybridMultilevel"/>
    <w:tmpl w:val="748A4B4C"/>
    <w:lvl w:ilvl="0" w:tplc="2D268588">
      <w:start w:val="16"/>
      <w:numFmt w:val="decimal"/>
      <w:lvlText w:val="%1."/>
      <w:lvlJc w:val="left"/>
      <w:pPr>
        <w:ind w:left="360" w:hanging="360"/>
      </w:pPr>
      <w:rPr>
        <w:rFonts w:hint="default"/>
        <w:lang w:val="en-US"/>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12A6E1E"/>
    <w:multiLevelType w:val="hybridMultilevel"/>
    <w:tmpl w:val="6DCE0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610966"/>
    <w:multiLevelType w:val="hybridMultilevel"/>
    <w:tmpl w:val="5F02635C"/>
    <w:lvl w:ilvl="0" w:tplc="18164478">
      <w:start w:val="1"/>
      <w:numFmt w:val="bullet"/>
      <w:lvlText w:val=""/>
      <w:lvlJc w:val="left"/>
      <w:pPr>
        <w:ind w:left="1451" w:hanging="360"/>
      </w:pPr>
      <w:rPr>
        <w:rFonts w:ascii="Symbol" w:hAnsi="Symbol" w:hint="default"/>
      </w:rPr>
    </w:lvl>
    <w:lvl w:ilvl="1" w:tplc="20000003" w:tentative="1">
      <w:start w:val="1"/>
      <w:numFmt w:val="bullet"/>
      <w:lvlText w:val="o"/>
      <w:lvlJc w:val="left"/>
      <w:pPr>
        <w:ind w:left="2171" w:hanging="360"/>
      </w:pPr>
      <w:rPr>
        <w:rFonts w:ascii="Courier New" w:hAnsi="Courier New" w:cs="Courier New" w:hint="default"/>
      </w:rPr>
    </w:lvl>
    <w:lvl w:ilvl="2" w:tplc="20000005" w:tentative="1">
      <w:start w:val="1"/>
      <w:numFmt w:val="bullet"/>
      <w:lvlText w:val=""/>
      <w:lvlJc w:val="left"/>
      <w:pPr>
        <w:ind w:left="2891" w:hanging="360"/>
      </w:pPr>
      <w:rPr>
        <w:rFonts w:ascii="Wingdings" w:hAnsi="Wingdings" w:hint="default"/>
      </w:rPr>
    </w:lvl>
    <w:lvl w:ilvl="3" w:tplc="20000001" w:tentative="1">
      <w:start w:val="1"/>
      <w:numFmt w:val="bullet"/>
      <w:lvlText w:val=""/>
      <w:lvlJc w:val="left"/>
      <w:pPr>
        <w:ind w:left="3611" w:hanging="360"/>
      </w:pPr>
      <w:rPr>
        <w:rFonts w:ascii="Symbol" w:hAnsi="Symbol" w:hint="default"/>
      </w:rPr>
    </w:lvl>
    <w:lvl w:ilvl="4" w:tplc="20000003" w:tentative="1">
      <w:start w:val="1"/>
      <w:numFmt w:val="bullet"/>
      <w:lvlText w:val="o"/>
      <w:lvlJc w:val="left"/>
      <w:pPr>
        <w:ind w:left="4331" w:hanging="360"/>
      </w:pPr>
      <w:rPr>
        <w:rFonts w:ascii="Courier New" w:hAnsi="Courier New" w:cs="Courier New" w:hint="default"/>
      </w:rPr>
    </w:lvl>
    <w:lvl w:ilvl="5" w:tplc="20000005" w:tentative="1">
      <w:start w:val="1"/>
      <w:numFmt w:val="bullet"/>
      <w:lvlText w:val=""/>
      <w:lvlJc w:val="left"/>
      <w:pPr>
        <w:ind w:left="5051" w:hanging="360"/>
      </w:pPr>
      <w:rPr>
        <w:rFonts w:ascii="Wingdings" w:hAnsi="Wingdings" w:hint="default"/>
      </w:rPr>
    </w:lvl>
    <w:lvl w:ilvl="6" w:tplc="20000001" w:tentative="1">
      <w:start w:val="1"/>
      <w:numFmt w:val="bullet"/>
      <w:lvlText w:val=""/>
      <w:lvlJc w:val="left"/>
      <w:pPr>
        <w:ind w:left="5771" w:hanging="360"/>
      </w:pPr>
      <w:rPr>
        <w:rFonts w:ascii="Symbol" w:hAnsi="Symbol" w:hint="default"/>
      </w:rPr>
    </w:lvl>
    <w:lvl w:ilvl="7" w:tplc="20000003" w:tentative="1">
      <w:start w:val="1"/>
      <w:numFmt w:val="bullet"/>
      <w:lvlText w:val="o"/>
      <w:lvlJc w:val="left"/>
      <w:pPr>
        <w:ind w:left="6491" w:hanging="360"/>
      </w:pPr>
      <w:rPr>
        <w:rFonts w:ascii="Courier New" w:hAnsi="Courier New" w:cs="Courier New" w:hint="default"/>
      </w:rPr>
    </w:lvl>
    <w:lvl w:ilvl="8" w:tplc="20000005" w:tentative="1">
      <w:start w:val="1"/>
      <w:numFmt w:val="bullet"/>
      <w:lvlText w:val=""/>
      <w:lvlJc w:val="left"/>
      <w:pPr>
        <w:ind w:left="7211" w:hanging="360"/>
      </w:pPr>
      <w:rPr>
        <w:rFonts w:ascii="Wingdings" w:hAnsi="Wingdings" w:hint="default"/>
      </w:rPr>
    </w:lvl>
  </w:abstractNum>
  <w:abstractNum w:abstractNumId="5" w15:restartNumberingAfterBreak="0">
    <w:nsid w:val="23A93199"/>
    <w:multiLevelType w:val="hybridMultilevel"/>
    <w:tmpl w:val="63CC0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5679B"/>
    <w:multiLevelType w:val="hybridMultilevel"/>
    <w:tmpl w:val="BF48DC96"/>
    <w:lvl w:ilvl="0" w:tplc="18164478">
      <w:start w:val="1"/>
      <w:numFmt w:val="bullet"/>
      <w:lvlText w:val=""/>
      <w:lvlJc w:val="left"/>
      <w:pPr>
        <w:ind w:left="1480" w:hanging="360"/>
      </w:pPr>
      <w:rPr>
        <w:rFonts w:ascii="Symbol" w:hAnsi="Symbol" w:hint="default"/>
      </w:rPr>
    </w:lvl>
    <w:lvl w:ilvl="1" w:tplc="20000003" w:tentative="1">
      <w:start w:val="1"/>
      <w:numFmt w:val="bullet"/>
      <w:lvlText w:val="o"/>
      <w:lvlJc w:val="left"/>
      <w:pPr>
        <w:ind w:left="2200" w:hanging="360"/>
      </w:pPr>
      <w:rPr>
        <w:rFonts w:ascii="Courier New" w:hAnsi="Courier New" w:cs="Courier New" w:hint="default"/>
      </w:rPr>
    </w:lvl>
    <w:lvl w:ilvl="2" w:tplc="20000005" w:tentative="1">
      <w:start w:val="1"/>
      <w:numFmt w:val="bullet"/>
      <w:lvlText w:val=""/>
      <w:lvlJc w:val="left"/>
      <w:pPr>
        <w:ind w:left="2920" w:hanging="360"/>
      </w:pPr>
      <w:rPr>
        <w:rFonts w:ascii="Wingdings" w:hAnsi="Wingdings" w:hint="default"/>
      </w:rPr>
    </w:lvl>
    <w:lvl w:ilvl="3" w:tplc="20000001" w:tentative="1">
      <w:start w:val="1"/>
      <w:numFmt w:val="bullet"/>
      <w:lvlText w:val=""/>
      <w:lvlJc w:val="left"/>
      <w:pPr>
        <w:ind w:left="3640" w:hanging="360"/>
      </w:pPr>
      <w:rPr>
        <w:rFonts w:ascii="Symbol" w:hAnsi="Symbol" w:hint="default"/>
      </w:rPr>
    </w:lvl>
    <w:lvl w:ilvl="4" w:tplc="20000003" w:tentative="1">
      <w:start w:val="1"/>
      <w:numFmt w:val="bullet"/>
      <w:lvlText w:val="o"/>
      <w:lvlJc w:val="left"/>
      <w:pPr>
        <w:ind w:left="4360" w:hanging="360"/>
      </w:pPr>
      <w:rPr>
        <w:rFonts w:ascii="Courier New" w:hAnsi="Courier New" w:cs="Courier New" w:hint="default"/>
      </w:rPr>
    </w:lvl>
    <w:lvl w:ilvl="5" w:tplc="20000005" w:tentative="1">
      <w:start w:val="1"/>
      <w:numFmt w:val="bullet"/>
      <w:lvlText w:val=""/>
      <w:lvlJc w:val="left"/>
      <w:pPr>
        <w:ind w:left="5080" w:hanging="360"/>
      </w:pPr>
      <w:rPr>
        <w:rFonts w:ascii="Wingdings" w:hAnsi="Wingdings" w:hint="default"/>
      </w:rPr>
    </w:lvl>
    <w:lvl w:ilvl="6" w:tplc="20000001" w:tentative="1">
      <w:start w:val="1"/>
      <w:numFmt w:val="bullet"/>
      <w:lvlText w:val=""/>
      <w:lvlJc w:val="left"/>
      <w:pPr>
        <w:ind w:left="5800" w:hanging="360"/>
      </w:pPr>
      <w:rPr>
        <w:rFonts w:ascii="Symbol" w:hAnsi="Symbol" w:hint="default"/>
      </w:rPr>
    </w:lvl>
    <w:lvl w:ilvl="7" w:tplc="20000003" w:tentative="1">
      <w:start w:val="1"/>
      <w:numFmt w:val="bullet"/>
      <w:lvlText w:val="o"/>
      <w:lvlJc w:val="left"/>
      <w:pPr>
        <w:ind w:left="6520" w:hanging="360"/>
      </w:pPr>
      <w:rPr>
        <w:rFonts w:ascii="Courier New" w:hAnsi="Courier New" w:cs="Courier New" w:hint="default"/>
      </w:rPr>
    </w:lvl>
    <w:lvl w:ilvl="8" w:tplc="20000005" w:tentative="1">
      <w:start w:val="1"/>
      <w:numFmt w:val="bullet"/>
      <w:lvlText w:val=""/>
      <w:lvlJc w:val="left"/>
      <w:pPr>
        <w:ind w:left="7240" w:hanging="360"/>
      </w:pPr>
      <w:rPr>
        <w:rFonts w:ascii="Wingdings" w:hAnsi="Wingdings" w:hint="default"/>
      </w:rPr>
    </w:lvl>
  </w:abstractNum>
  <w:abstractNum w:abstractNumId="7" w15:restartNumberingAfterBreak="0">
    <w:nsid w:val="275B02F5"/>
    <w:multiLevelType w:val="hybridMultilevel"/>
    <w:tmpl w:val="CB867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D04016"/>
    <w:multiLevelType w:val="hybridMultilevel"/>
    <w:tmpl w:val="BCD0E7A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1863E4"/>
    <w:multiLevelType w:val="hybridMultilevel"/>
    <w:tmpl w:val="F196A866"/>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05F2CFE"/>
    <w:multiLevelType w:val="hybridMultilevel"/>
    <w:tmpl w:val="8E18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010680"/>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50E10A5C"/>
    <w:multiLevelType w:val="hybridMultilevel"/>
    <w:tmpl w:val="4164168C"/>
    <w:lvl w:ilvl="0" w:tplc="366E9DD4">
      <w:start w:val="3"/>
      <w:numFmt w:val="bullet"/>
      <w:lvlText w:val="-"/>
      <w:lvlJc w:val="left"/>
      <w:pPr>
        <w:ind w:left="1069"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611074D"/>
    <w:multiLevelType w:val="hybridMultilevel"/>
    <w:tmpl w:val="B3148B1E"/>
    <w:lvl w:ilvl="0" w:tplc="A510C964">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787A7A"/>
    <w:multiLevelType w:val="hybridMultilevel"/>
    <w:tmpl w:val="B3148B1E"/>
    <w:lvl w:ilvl="0" w:tplc="A510C964">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CF2CA6"/>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60015393"/>
    <w:multiLevelType w:val="hybridMultilevel"/>
    <w:tmpl w:val="CB867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1A14BA"/>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60FB53BF"/>
    <w:multiLevelType w:val="hybridMultilevel"/>
    <w:tmpl w:val="08B8EA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3AB5ED0"/>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64E03831"/>
    <w:multiLevelType w:val="hybridMultilevel"/>
    <w:tmpl w:val="18C46AE4"/>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53730F6"/>
    <w:multiLevelType w:val="hybridMultilevel"/>
    <w:tmpl w:val="14AA2900"/>
    <w:lvl w:ilvl="0" w:tplc="341EBB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2E970">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8A204">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0910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E5A7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0C706">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0628E">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E186">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AE72A">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5F2AC4"/>
    <w:multiLevelType w:val="hybridMultilevel"/>
    <w:tmpl w:val="3156187C"/>
    <w:lvl w:ilvl="0" w:tplc="A89603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3532A"/>
    <w:multiLevelType w:val="hybridMultilevel"/>
    <w:tmpl w:val="91304ACC"/>
    <w:lvl w:ilvl="0" w:tplc="57DC1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673A88"/>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70117AAE"/>
    <w:multiLevelType w:val="hybridMultilevel"/>
    <w:tmpl w:val="591CE8CA"/>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F57D18"/>
    <w:multiLevelType w:val="hybridMultilevel"/>
    <w:tmpl w:val="C42E8AD2"/>
    <w:lvl w:ilvl="0" w:tplc="90A8DFB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9F746F"/>
    <w:multiLevelType w:val="hybridMultilevel"/>
    <w:tmpl w:val="2474BF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7FC74A28"/>
    <w:multiLevelType w:val="hybridMultilevel"/>
    <w:tmpl w:val="30AE0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3850259">
    <w:abstractNumId w:val="22"/>
  </w:num>
  <w:num w:numId="2" w16cid:durableId="447550868">
    <w:abstractNumId w:val="5"/>
  </w:num>
  <w:num w:numId="3" w16cid:durableId="1790275002">
    <w:abstractNumId w:val="13"/>
  </w:num>
  <w:num w:numId="4" w16cid:durableId="644167523">
    <w:abstractNumId w:val="18"/>
  </w:num>
  <w:num w:numId="5" w16cid:durableId="2019232444">
    <w:abstractNumId w:val="16"/>
  </w:num>
  <w:num w:numId="6" w16cid:durableId="1488208361">
    <w:abstractNumId w:val="25"/>
  </w:num>
  <w:num w:numId="7" w16cid:durableId="411246261">
    <w:abstractNumId w:val="2"/>
  </w:num>
  <w:num w:numId="8" w16cid:durableId="457646895">
    <w:abstractNumId w:val="23"/>
  </w:num>
  <w:num w:numId="9" w16cid:durableId="630745052">
    <w:abstractNumId w:val="14"/>
  </w:num>
  <w:num w:numId="10" w16cid:durableId="438181128">
    <w:abstractNumId w:val="28"/>
  </w:num>
  <w:num w:numId="11" w16cid:durableId="766577711">
    <w:abstractNumId w:val="7"/>
  </w:num>
  <w:num w:numId="12" w16cid:durableId="2038845681">
    <w:abstractNumId w:val="1"/>
  </w:num>
  <w:num w:numId="13" w16cid:durableId="1277447120">
    <w:abstractNumId w:val="10"/>
  </w:num>
  <w:num w:numId="14" w16cid:durableId="1972593194">
    <w:abstractNumId w:val="19"/>
  </w:num>
  <w:num w:numId="15" w16cid:durableId="1374191549">
    <w:abstractNumId w:val="17"/>
  </w:num>
  <w:num w:numId="16" w16cid:durableId="424034098">
    <w:abstractNumId w:val="27"/>
  </w:num>
  <w:num w:numId="17" w16cid:durableId="1526287073">
    <w:abstractNumId w:val="15"/>
  </w:num>
  <w:num w:numId="18" w16cid:durableId="1350179244">
    <w:abstractNumId w:val="24"/>
  </w:num>
  <w:num w:numId="19" w16cid:durableId="231932687">
    <w:abstractNumId w:val="11"/>
  </w:num>
  <w:num w:numId="20" w16cid:durableId="672227495">
    <w:abstractNumId w:val="21"/>
  </w:num>
  <w:num w:numId="21" w16cid:durableId="258685252">
    <w:abstractNumId w:val="4"/>
  </w:num>
  <w:num w:numId="22" w16cid:durableId="219941511">
    <w:abstractNumId w:val="6"/>
  </w:num>
  <w:num w:numId="23" w16cid:durableId="2026595281">
    <w:abstractNumId w:val="3"/>
  </w:num>
  <w:num w:numId="24" w16cid:durableId="932250511">
    <w:abstractNumId w:val="20"/>
  </w:num>
  <w:num w:numId="25" w16cid:durableId="1326008153">
    <w:abstractNumId w:val="8"/>
  </w:num>
  <w:num w:numId="26" w16cid:durableId="1617903663">
    <w:abstractNumId w:val="0"/>
  </w:num>
  <w:num w:numId="27" w16cid:durableId="1887377963">
    <w:abstractNumId w:val="9"/>
  </w:num>
  <w:num w:numId="28" w16cid:durableId="1194072665">
    <w:abstractNumId w:val="26"/>
  </w:num>
  <w:num w:numId="29" w16cid:durableId="25552758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39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25"/>
    <w:rsid w:val="000060C2"/>
    <w:rsid w:val="000065E1"/>
    <w:rsid w:val="00007438"/>
    <w:rsid w:val="000102BD"/>
    <w:rsid w:val="00010709"/>
    <w:rsid w:val="00011D88"/>
    <w:rsid w:val="000147F3"/>
    <w:rsid w:val="00014AE6"/>
    <w:rsid w:val="00021CC1"/>
    <w:rsid w:val="00021EA2"/>
    <w:rsid w:val="00022F75"/>
    <w:rsid w:val="000234B8"/>
    <w:rsid w:val="00030034"/>
    <w:rsid w:val="00030508"/>
    <w:rsid w:val="000310D6"/>
    <w:rsid w:val="000332CD"/>
    <w:rsid w:val="00035174"/>
    <w:rsid w:val="00040EC5"/>
    <w:rsid w:val="00041C5F"/>
    <w:rsid w:val="00046F39"/>
    <w:rsid w:val="00050245"/>
    <w:rsid w:val="0005144C"/>
    <w:rsid w:val="00052020"/>
    <w:rsid w:val="00052CCD"/>
    <w:rsid w:val="00053B3E"/>
    <w:rsid w:val="0005632C"/>
    <w:rsid w:val="000622C0"/>
    <w:rsid w:val="00063FAA"/>
    <w:rsid w:val="00064B3F"/>
    <w:rsid w:val="0006753B"/>
    <w:rsid w:val="00076676"/>
    <w:rsid w:val="00076723"/>
    <w:rsid w:val="00077995"/>
    <w:rsid w:val="00077D3A"/>
    <w:rsid w:val="00081795"/>
    <w:rsid w:val="00085324"/>
    <w:rsid w:val="000855D8"/>
    <w:rsid w:val="0009121F"/>
    <w:rsid w:val="00095333"/>
    <w:rsid w:val="00095753"/>
    <w:rsid w:val="000960EA"/>
    <w:rsid w:val="0009654A"/>
    <w:rsid w:val="000A31B1"/>
    <w:rsid w:val="000A5339"/>
    <w:rsid w:val="000B00EA"/>
    <w:rsid w:val="000B196E"/>
    <w:rsid w:val="000B19E2"/>
    <w:rsid w:val="000B29D7"/>
    <w:rsid w:val="000B2AA1"/>
    <w:rsid w:val="000B5483"/>
    <w:rsid w:val="000C47C9"/>
    <w:rsid w:val="000D3C9C"/>
    <w:rsid w:val="000E121B"/>
    <w:rsid w:val="000E32E3"/>
    <w:rsid w:val="000E57B6"/>
    <w:rsid w:val="000E6DAE"/>
    <w:rsid w:val="000F1B9F"/>
    <w:rsid w:val="000F38FF"/>
    <w:rsid w:val="000F4021"/>
    <w:rsid w:val="000F7CD9"/>
    <w:rsid w:val="00103799"/>
    <w:rsid w:val="00106B32"/>
    <w:rsid w:val="0011414D"/>
    <w:rsid w:val="00114D72"/>
    <w:rsid w:val="00115605"/>
    <w:rsid w:val="00116C99"/>
    <w:rsid w:val="00125DC9"/>
    <w:rsid w:val="00126AEE"/>
    <w:rsid w:val="00126D11"/>
    <w:rsid w:val="001304B0"/>
    <w:rsid w:val="001316C7"/>
    <w:rsid w:val="00133115"/>
    <w:rsid w:val="001338D9"/>
    <w:rsid w:val="00134C12"/>
    <w:rsid w:val="001415E7"/>
    <w:rsid w:val="00142544"/>
    <w:rsid w:val="001438B7"/>
    <w:rsid w:val="001541CE"/>
    <w:rsid w:val="0015558D"/>
    <w:rsid w:val="00157855"/>
    <w:rsid w:val="00160DD3"/>
    <w:rsid w:val="00161092"/>
    <w:rsid w:val="00163640"/>
    <w:rsid w:val="0016433F"/>
    <w:rsid w:val="001656F4"/>
    <w:rsid w:val="00166821"/>
    <w:rsid w:val="00172498"/>
    <w:rsid w:val="00172AB8"/>
    <w:rsid w:val="0017372B"/>
    <w:rsid w:val="00173C80"/>
    <w:rsid w:val="0017421A"/>
    <w:rsid w:val="00177950"/>
    <w:rsid w:val="001826F4"/>
    <w:rsid w:val="00186A5D"/>
    <w:rsid w:val="001902F0"/>
    <w:rsid w:val="00195ABB"/>
    <w:rsid w:val="00196AEF"/>
    <w:rsid w:val="00197BE3"/>
    <w:rsid w:val="001A4DE5"/>
    <w:rsid w:val="001A6C4C"/>
    <w:rsid w:val="001A7869"/>
    <w:rsid w:val="001B0B1D"/>
    <w:rsid w:val="001B2947"/>
    <w:rsid w:val="001B7936"/>
    <w:rsid w:val="001C1649"/>
    <w:rsid w:val="001C23E2"/>
    <w:rsid w:val="001C26F6"/>
    <w:rsid w:val="001C35EE"/>
    <w:rsid w:val="001C3977"/>
    <w:rsid w:val="001C487E"/>
    <w:rsid w:val="001C6B70"/>
    <w:rsid w:val="001D1BCB"/>
    <w:rsid w:val="001D5BD3"/>
    <w:rsid w:val="001D78DE"/>
    <w:rsid w:val="001E1E7C"/>
    <w:rsid w:val="001E1F38"/>
    <w:rsid w:val="001E270C"/>
    <w:rsid w:val="001E3E99"/>
    <w:rsid w:val="001E5AD0"/>
    <w:rsid w:val="001E7277"/>
    <w:rsid w:val="001E7842"/>
    <w:rsid w:val="001F10EC"/>
    <w:rsid w:val="001F1703"/>
    <w:rsid w:val="002018E4"/>
    <w:rsid w:val="00202E1A"/>
    <w:rsid w:val="0020302D"/>
    <w:rsid w:val="0020344C"/>
    <w:rsid w:val="00204622"/>
    <w:rsid w:val="002058B2"/>
    <w:rsid w:val="002058DB"/>
    <w:rsid w:val="00206809"/>
    <w:rsid w:val="00211D02"/>
    <w:rsid w:val="00213FB0"/>
    <w:rsid w:val="00217746"/>
    <w:rsid w:val="00217A10"/>
    <w:rsid w:val="002200C4"/>
    <w:rsid w:val="002209DE"/>
    <w:rsid w:val="002240BE"/>
    <w:rsid w:val="00225A93"/>
    <w:rsid w:val="00226FC7"/>
    <w:rsid w:val="00230E96"/>
    <w:rsid w:val="002310CC"/>
    <w:rsid w:val="00232041"/>
    <w:rsid w:val="00233478"/>
    <w:rsid w:val="0023474F"/>
    <w:rsid w:val="00235DD9"/>
    <w:rsid w:val="0024178D"/>
    <w:rsid w:val="002463B5"/>
    <w:rsid w:val="00250664"/>
    <w:rsid w:val="00250C84"/>
    <w:rsid w:val="00252D47"/>
    <w:rsid w:val="00252DD2"/>
    <w:rsid w:val="00253BD9"/>
    <w:rsid w:val="002558E5"/>
    <w:rsid w:val="0025756B"/>
    <w:rsid w:val="00265EC5"/>
    <w:rsid w:val="00272A23"/>
    <w:rsid w:val="00272E78"/>
    <w:rsid w:val="002743ED"/>
    <w:rsid w:val="00275D67"/>
    <w:rsid w:val="00277C05"/>
    <w:rsid w:val="0028352F"/>
    <w:rsid w:val="002900D7"/>
    <w:rsid w:val="00292224"/>
    <w:rsid w:val="00292BF1"/>
    <w:rsid w:val="002A1F4B"/>
    <w:rsid w:val="002A215C"/>
    <w:rsid w:val="002A28CB"/>
    <w:rsid w:val="002A4901"/>
    <w:rsid w:val="002A6C01"/>
    <w:rsid w:val="002B1BAA"/>
    <w:rsid w:val="002B5D03"/>
    <w:rsid w:val="002C0503"/>
    <w:rsid w:val="002C26DB"/>
    <w:rsid w:val="002C30DA"/>
    <w:rsid w:val="002D0F70"/>
    <w:rsid w:val="002D154F"/>
    <w:rsid w:val="002D1E94"/>
    <w:rsid w:val="002D4486"/>
    <w:rsid w:val="002D6635"/>
    <w:rsid w:val="002D7F69"/>
    <w:rsid w:val="002E5166"/>
    <w:rsid w:val="002E6D1E"/>
    <w:rsid w:val="002F19C8"/>
    <w:rsid w:val="002F1E3C"/>
    <w:rsid w:val="002F2F27"/>
    <w:rsid w:val="002F67ED"/>
    <w:rsid w:val="002F7301"/>
    <w:rsid w:val="003008AD"/>
    <w:rsid w:val="00300D85"/>
    <w:rsid w:val="00305676"/>
    <w:rsid w:val="00305807"/>
    <w:rsid w:val="00310FA0"/>
    <w:rsid w:val="00312B9E"/>
    <w:rsid w:val="003167B8"/>
    <w:rsid w:val="00324FDC"/>
    <w:rsid w:val="00331363"/>
    <w:rsid w:val="00334FDE"/>
    <w:rsid w:val="00354ED6"/>
    <w:rsid w:val="00356619"/>
    <w:rsid w:val="0036063B"/>
    <w:rsid w:val="00363513"/>
    <w:rsid w:val="00365C41"/>
    <w:rsid w:val="003661F6"/>
    <w:rsid w:val="0037330A"/>
    <w:rsid w:val="00374D42"/>
    <w:rsid w:val="00374DA1"/>
    <w:rsid w:val="00375658"/>
    <w:rsid w:val="00377AAC"/>
    <w:rsid w:val="003806C9"/>
    <w:rsid w:val="003830E3"/>
    <w:rsid w:val="00390D2B"/>
    <w:rsid w:val="00392996"/>
    <w:rsid w:val="00397DD1"/>
    <w:rsid w:val="003A0EC1"/>
    <w:rsid w:val="003A2FFD"/>
    <w:rsid w:val="003A48E7"/>
    <w:rsid w:val="003A48F3"/>
    <w:rsid w:val="003A54D7"/>
    <w:rsid w:val="003B6615"/>
    <w:rsid w:val="003B7217"/>
    <w:rsid w:val="003C0D3A"/>
    <w:rsid w:val="003C232D"/>
    <w:rsid w:val="003D14E1"/>
    <w:rsid w:val="003D20A9"/>
    <w:rsid w:val="003D47F7"/>
    <w:rsid w:val="003D7524"/>
    <w:rsid w:val="003E3120"/>
    <w:rsid w:val="003E3C84"/>
    <w:rsid w:val="003F02B0"/>
    <w:rsid w:val="003F1AA4"/>
    <w:rsid w:val="003F49DE"/>
    <w:rsid w:val="003F4DFB"/>
    <w:rsid w:val="003F74D6"/>
    <w:rsid w:val="00403560"/>
    <w:rsid w:val="00405706"/>
    <w:rsid w:val="0041222C"/>
    <w:rsid w:val="004125B1"/>
    <w:rsid w:val="00414EA8"/>
    <w:rsid w:val="00414EB2"/>
    <w:rsid w:val="0042062D"/>
    <w:rsid w:val="00421429"/>
    <w:rsid w:val="00421CAE"/>
    <w:rsid w:val="0042792B"/>
    <w:rsid w:val="00430527"/>
    <w:rsid w:val="00430BC1"/>
    <w:rsid w:val="0043283B"/>
    <w:rsid w:val="004343E1"/>
    <w:rsid w:val="0043621E"/>
    <w:rsid w:val="004415CF"/>
    <w:rsid w:val="00446EF5"/>
    <w:rsid w:val="00451699"/>
    <w:rsid w:val="004533C9"/>
    <w:rsid w:val="004543EF"/>
    <w:rsid w:val="00455635"/>
    <w:rsid w:val="00465561"/>
    <w:rsid w:val="00466704"/>
    <w:rsid w:val="004669FF"/>
    <w:rsid w:val="00467432"/>
    <w:rsid w:val="004676BB"/>
    <w:rsid w:val="0047120C"/>
    <w:rsid w:val="004737AC"/>
    <w:rsid w:val="0047496C"/>
    <w:rsid w:val="004771A1"/>
    <w:rsid w:val="00480E9E"/>
    <w:rsid w:val="004817B5"/>
    <w:rsid w:val="00482AAC"/>
    <w:rsid w:val="00497B59"/>
    <w:rsid w:val="00497CA5"/>
    <w:rsid w:val="004A0098"/>
    <w:rsid w:val="004A0244"/>
    <w:rsid w:val="004A51C5"/>
    <w:rsid w:val="004B18A9"/>
    <w:rsid w:val="004B438F"/>
    <w:rsid w:val="004B7D27"/>
    <w:rsid w:val="004C403D"/>
    <w:rsid w:val="004C7449"/>
    <w:rsid w:val="004C7819"/>
    <w:rsid w:val="004D6CF4"/>
    <w:rsid w:val="004D70DC"/>
    <w:rsid w:val="004E25EE"/>
    <w:rsid w:val="004E6F80"/>
    <w:rsid w:val="004F756A"/>
    <w:rsid w:val="00500170"/>
    <w:rsid w:val="005047BC"/>
    <w:rsid w:val="00504CCE"/>
    <w:rsid w:val="005052B4"/>
    <w:rsid w:val="00505D69"/>
    <w:rsid w:val="00507307"/>
    <w:rsid w:val="00510F64"/>
    <w:rsid w:val="0051187A"/>
    <w:rsid w:val="00512FB3"/>
    <w:rsid w:val="0051401F"/>
    <w:rsid w:val="005150D1"/>
    <w:rsid w:val="00516F17"/>
    <w:rsid w:val="00517757"/>
    <w:rsid w:val="005252D1"/>
    <w:rsid w:val="00525D8E"/>
    <w:rsid w:val="00530878"/>
    <w:rsid w:val="0053166B"/>
    <w:rsid w:val="00531E60"/>
    <w:rsid w:val="005347AE"/>
    <w:rsid w:val="0053516A"/>
    <w:rsid w:val="00536FAD"/>
    <w:rsid w:val="005379D9"/>
    <w:rsid w:val="00544179"/>
    <w:rsid w:val="00552565"/>
    <w:rsid w:val="0055701C"/>
    <w:rsid w:val="0056039E"/>
    <w:rsid w:val="00560D4D"/>
    <w:rsid w:val="00560F58"/>
    <w:rsid w:val="00561B4D"/>
    <w:rsid w:val="00564DF4"/>
    <w:rsid w:val="0057259E"/>
    <w:rsid w:val="00572AB2"/>
    <w:rsid w:val="00573555"/>
    <w:rsid w:val="00580E0B"/>
    <w:rsid w:val="0058310F"/>
    <w:rsid w:val="00585A78"/>
    <w:rsid w:val="00586D65"/>
    <w:rsid w:val="00587EE8"/>
    <w:rsid w:val="005934B3"/>
    <w:rsid w:val="005961D9"/>
    <w:rsid w:val="005A5470"/>
    <w:rsid w:val="005A5A42"/>
    <w:rsid w:val="005A6B55"/>
    <w:rsid w:val="005B0FB1"/>
    <w:rsid w:val="005B1DCD"/>
    <w:rsid w:val="005B3093"/>
    <w:rsid w:val="005B62EC"/>
    <w:rsid w:val="005B7749"/>
    <w:rsid w:val="005C084C"/>
    <w:rsid w:val="005C154B"/>
    <w:rsid w:val="005C2265"/>
    <w:rsid w:val="005C44ED"/>
    <w:rsid w:val="005C4D19"/>
    <w:rsid w:val="005D05D5"/>
    <w:rsid w:val="005D57AF"/>
    <w:rsid w:val="005D63AE"/>
    <w:rsid w:val="005D6D54"/>
    <w:rsid w:val="005E1606"/>
    <w:rsid w:val="005E30E9"/>
    <w:rsid w:val="005E36EC"/>
    <w:rsid w:val="005E569E"/>
    <w:rsid w:val="005E7D58"/>
    <w:rsid w:val="005F26A9"/>
    <w:rsid w:val="005F52BB"/>
    <w:rsid w:val="0060103A"/>
    <w:rsid w:val="00602183"/>
    <w:rsid w:val="00602B48"/>
    <w:rsid w:val="006031FD"/>
    <w:rsid w:val="00603948"/>
    <w:rsid w:val="0060482D"/>
    <w:rsid w:val="00605318"/>
    <w:rsid w:val="00611725"/>
    <w:rsid w:val="006129D5"/>
    <w:rsid w:val="0061396C"/>
    <w:rsid w:val="00615FC2"/>
    <w:rsid w:val="00633C0C"/>
    <w:rsid w:val="006425FF"/>
    <w:rsid w:val="0064517D"/>
    <w:rsid w:val="006453D2"/>
    <w:rsid w:val="00645CB9"/>
    <w:rsid w:val="00645EE7"/>
    <w:rsid w:val="00646A65"/>
    <w:rsid w:val="00646A6B"/>
    <w:rsid w:val="00647DD4"/>
    <w:rsid w:val="00653247"/>
    <w:rsid w:val="00653672"/>
    <w:rsid w:val="00656917"/>
    <w:rsid w:val="0066009D"/>
    <w:rsid w:val="006609EB"/>
    <w:rsid w:val="006634B2"/>
    <w:rsid w:val="00665817"/>
    <w:rsid w:val="00666DCD"/>
    <w:rsid w:val="0066755A"/>
    <w:rsid w:val="00670D43"/>
    <w:rsid w:val="00671777"/>
    <w:rsid w:val="006755A4"/>
    <w:rsid w:val="006771DD"/>
    <w:rsid w:val="006828A4"/>
    <w:rsid w:val="00683C07"/>
    <w:rsid w:val="0068659F"/>
    <w:rsid w:val="0068785F"/>
    <w:rsid w:val="00687BA2"/>
    <w:rsid w:val="00693BA8"/>
    <w:rsid w:val="00696821"/>
    <w:rsid w:val="006A2D73"/>
    <w:rsid w:val="006A2EB4"/>
    <w:rsid w:val="006A3BE3"/>
    <w:rsid w:val="006A5E5D"/>
    <w:rsid w:val="006B5CC3"/>
    <w:rsid w:val="006C0C50"/>
    <w:rsid w:val="006C1FAB"/>
    <w:rsid w:val="006C5299"/>
    <w:rsid w:val="006C7D24"/>
    <w:rsid w:val="006D1C16"/>
    <w:rsid w:val="006D1EE6"/>
    <w:rsid w:val="006D4078"/>
    <w:rsid w:val="006D6E9C"/>
    <w:rsid w:val="006D7669"/>
    <w:rsid w:val="006E235D"/>
    <w:rsid w:val="006E5855"/>
    <w:rsid w:val="006F00B2"/>
    <w:rsid w:val="006F7250"/>
    <w:rsid w:val="006F7F72"/>
    <w:rsid w:val="0070133A"/>
    <w:rsid w:val="007037C9"/>
    <w:rsid w:val="00703C0A"/>
    <w:rsid w:val="007055DD"/>
    <w:rsid w:val="007064F5"/>
    <w:rsid w:val="0070779C"/>
    <w:rsid w:val="00714D4A"/>
    <w:rsid w:val="00716758"/>
    <w:rsid w:val="00717FE9"/>
    <w:rsid w:val="007206BD"/>
    <w:rsid w:val="00721FF3"/>
    <w:rsid w:val="007224A9"/>
    <w:rsid w:val="00722B4C"/>
    <w:rsid w:val="00725C48"/>
    <w:rsid w:val="007309DE"/>
    <w:rsid w:val="00731139"/>
    <w:rsid w:val="00733559"/>
    <w:rsid w:val="00733E56"/>
    <w:rsid w:val="007421C0"/>
    <w:rsid w:val="00742AD9"/>
    <w:rsid w:val="007443BC"/>
    <w:rsid w:val="0074590D"/>
    <w:rsid w:val="00745C2C"/>
    <w:rsid w:val="007477E5"/>
    <w:rsid w:val="00747946"/>
    <w:rsid w:val="00747954"/>
    <w:rsid w:val="00751146"/>
    <w:rsid w:val="00752D30"/>
    <w:rsid w:val="00753514"/>
    <w:rsid w:val="007552C7"/>
    <w:rsid w:val="007602EC"/>
    <w:rsid w:val="007715EB"/>
    <w:rsid w:val="007753A0"/>
    <w:rsid w:val="007820B8"/>
    <w:rsid w:val="00782894"/>
    <w:rsid w:val="007829AB"/>
    <w:rsid w:val="00782EB4"/>
    <w:rsid w:val="00785B21"/>
    <w:rsid w:val="00792C27"/>
    <w:rsid w:val="0079413B"/>
    <w:rsid w:val="007966A1"/>
    <w:rsid w:val="007A0654"/>
    <w:rsid w:val="007A2263"/>
    <w:rsid w:val="007A41AC"/>
    <w:rsid w:val="007A5403"/>
    <w:rsid w:val="007A5BE0"/>
    <w:rsid w:val="007A6E83"/>
    <w:rsid w:val="007B0E4E"/>
    <w:rsid w:val="007B4AE2"/>
    <w:rsid w:val="007C0FB7"/>
    <w:rsid w:val="007C60E6"/>
    <w:rsid w:val="007C65D8"/>
    <w:rsid w:val="007D1A6F"/>
    <w:rsid w:val="007D3B18"/>
    <w:rsid w:val="007D75CF"/>
    <w:rsid w:val="007E2016"/>
    <w:rsid w:val="007E30A2"/>
    <w:rsid w:val="007E5519"/>
    <w:rsid w:val="007E60D7"/>
    <w:rsid w:val="007E689C"/>
    <w:rsid w:val="007E6CD0"/>
    <w:rsid w:val="007E7A71"/>
    <w:rsid w:val="007F0B02"/>
    <w:rsid w:val="007F314B"/>
    <w:rsid w:val="007F5C04"/>
    <w:rsid w:val="007F7A9E"/>
    <w:rsid w:val="007F7F0A"/>
    <w:rsid w:val="00800871"/>
    <w:rsid w:val="00801096"/>
    <w:rsid w:val="00802494"/>
    <w:rsid w:val="00802E37"/>
    <w:rsid w:val="00803A70"/>
    <w:rsid w:val="008116C4"/>
    <w:rsid w:val="008117E7"/>
    <w:rsid w:val="00812391"/>
    <w:rsid w:val="008150A2"/>
    <w:rsid w:val="0081648F"/>
    <w:rsid w:val="00817495"/>
    <w:rsid w:val="00822499"/>
    <w:rsid w:val="00824231"/>
    <w:rsid w:val="00824842"/>
    <w:rsid w:val="00824901"/>
    <w:rsid w:val="008303D7"/>
    <w:rsid w:val="00830610"/>
    <w:rsid w:val="008306C2"/>
    <w:rsid w:val="00830EED"/>
    <w:rsid w:val="0083203A"/>
    <w:rsid w:val="00832AC3"/>
    <w:rsid w:val="00834297"/>
    <w:rsid w:val="00834A38"/>
    <w:rsid w:val="00844BBD"/>
    <w:rsid w:val="0084671D"/>
    <w:rsid w:val="008526AD"/>
    <w:rsid w:val="008612A2"/>
    <w:rsid w:val="0086178A"/>
    <w:rsid w:val="00863F8C"/>
    <w:rsid w:val="008664DA"/>
    <w:rsid w:val="00866B6B"/>
    <w:rsid w:val="00866FD0"/>
    <w:rsid w:val="00870FAF"/>
    <w:rsid w:val="008719B9"/>
    <w:rsid w:val="0088088F"/>
    <w:rsid w:val="0088204E"/>
    <w:rsid w:val="008866C4"/>
    <w:rsid w:val="00886FC5"/>
    <w:rsid w:val="00887EF9"/>
    <w:rsid w:val="00893CE4"/>
    <w:rsid w:val="008A169E"/>
    <w:rsid w:val="008A1E1B"/>
    <w:rsid w:val="008A1F5D"/>
    <w:rsid w:val="008A232F"/>
    <w:rsid w:val="008A48C3"/>
    <w:rsid w:val="008A60EC"/>
    <w:rsid w:val="008B1566"/>
    <w:rsid w:val="008B2CD2"/>
    <w:rsid w:val="008B31AE"/>
    <w:rsid w:val="008B54DC"/>
    <w:rsid w:val="008B6B1D"/>
    <w:rsid w:val="008C0A55"/>
    <w:rsid w:val="008C1599"/>
    <w:rsid w:val="008C2A17"/>
    <w:rsid w:val="008C3BF4"/>
    <w:rsid w:val="008C5ABA"/>
    <w:rsid w:val="008C5CF6"/>
    <w:rsid w:val="008C623E"/>
    <w:rsid w:val="008C66EB"/>
    <w:rsid w:val="008C7593"/>
    <w:rsid w:val="008C7695"/>
    <w:rsid w:val="008D2FFF"/>
    <w:rsid w:val="008D3DD5"/>
    <w:rsid w:val="008D741D"/>
    <w:rsid w:val="008D7DAF"/>
    <w:rsid w:val="008E134A"/>
    <w:rsid w:val="008E30D6"/>
    <w:rsid w:val="008E3DC1"/>
    <w:rsid w:val="008E5F27"/>
    <w:rsid w:val="008F5DA9"/>
    <w:rsid w:val="008F7B8F"/>
    <w:rsid w:val="009011AA"/>
    <w:rsid w:val="00901E27"/>
    <w:rsid w:val="009063C8"/>
    <w:rsid w:val="0090781D"/>
    <w:rsid w:val="00907870"/>
    <w:rsid w:val="009078DB"/>
    <w:rsid w:val="00911EF3"/>
    <w:rsid w:val="009132EB"/>
    <w:rsid w:val="009146B0"/>
    <w:rsid w:val="0092112B"/>
    <w:rsid w:val="009219F9"/>
    <w:rsid w:val="00925C1C"/>
    <w:rsid w:val="00927271"/>
    <w:rsid w:val="00927AAD"/>
    <w:rsid w:val="009363F2"/>
    <w:rsid w:val="00941163"/>
    <w:rsid w:val="00941C20"/>
    <w:rsid w:val="00943525"/>
    <w:rsid w:val="009478E4"/>
    <w:rsid w:val="0095783A"/>
    <w:rsid w:val="009647AA"/>
    <w:rsid w:val="00964C3E"/>
    <w:rsid w:val="0096588C"/>
    <w:rsid w:val="0096610B"/>
    <w:rsid w:val="0097095A"/>
    <w:rsid w:val="00971DF2"/>
    <w:rsid w:val="00976617"/>
    <w:rsid w:val="00976853"/>
    <w:rsid w:val="009820BE"/>
    <w:rsid w:val="00982347"/>
    <w:rsid w:val="009826DA"/>
    <w:rsid w:val="00983C75"/>
    <w:rsid w:val="0099096F"/>
    <w:rsid w:val="00990B61"/>
    <w:rsid w:val="009938E7"/>
    <w:rsid w:val="00995CDE"/>
    <w:rsid w:val="00995ED8"/>
    <w:rsid w:val="00996562"/>
    <w:rsid w:val="009A3656"/>
    <w:rsid w:val="009A36E8"/>
    <w:rsid w:val="009A3B7C"/>
    <w:rsid w:val="009A4655"/>
    <w:rsid w:val="009A56DE"/>
    <w:rsid w:val="009A7C8C"/>
    <w:rsid w:val="009B4047"/>
    <w:rsid w:val="009C16B9"/>
    <w:rsid w:val="009C2BB9"/>
    <w:rsid w:val="009C4C55"/>
    <w:rsid w:val="009D0649"/>
    <w:rsid w:val="009D0CF7"/>
    <w:rsid w:val="009D2DA9"/>
    <w:rsid w:val="009D4423"/>
    <w:rsid w:val="009E6158"/>
    <w:rsid w:val="009E6C26"/>
    <w:rsid w:val="009E7FD6"/>
    <w:rsid w:val="009F5A2F"/>
    <w:rsid w:val="009F7134"/>
    <w:rsid w:val="00A04347"/>
    <w:rsid w:val="00A0731E"/>
    <w:rsid w:val="00A07A6F"/>
    <w:rsid w:val="00A1270E"/>
    <w:rsid w:val="00A16F5B"/>
    <w:rsid w:val="00A208EF"/>
    <w:rsid w:val="00A215CB"/>
    <w:rsid w:val="00A25987"/>
    <w:rsid w:val="00A27693"/>
    <w:rsid w:val="00A27B8E"/>
    <w:rsid w:val="00A27F36"/>
    <w:rsid w:val="00A3036A"/>
    <w:rsid w:val="00A307C9"/>
    <w:rsid w:val="00A31436"/>
    <w:rsid w:val="00A318D2"/>
    <w:rsid w:val="00A32905"/>
    <w:rsid w:val="00A3602F"/>
    <w:rsid w:val="00A42CC1"/>
    <w:rsid w:val="00A52D56"/>
    <w:rsid w:val="00A5356E"/>
    <w:rsid w:val="00A60DE1"/>
    <w:rsid w:val="00A6178D"/>
    <w:rsid w:val="00A65EAF"/>
    <w:rsid w:val="00A67CDD"/>
    <w:rsid w:val="00A75CB2"/>
    <w:rsid w:val="00A776B3"/>
    <w:rsid w:val="00A80AD1"/>
    <w:rsid w:val="00A81A74"/>
    <w:rsid w:val="00A83A93"/>
    <w:rsid w:val="00A83B34"/>
    <w:rsid w:val="00A906A7"/>
    <w:rsid w:val="00A91BA8"/>
    <w:rsid w:val="00A934F6"/>
    <w:rsid w:val="00A95E9E"/>
    <w:rsid w:val="00A96B20"/>
    <w:rsid w:val="00AA4F2A"/>
    <w:rsid w:val="00AA554A"/>
    <w:rsid w:val="00AA55D6"/>
    <w:rsid w:val="00AA7FAE"/>
    <w:rsid w:val="00AB74BD"/>
    <w:rsid w:val="00AB75EF"/>
    <w:rsid w:val="00AC15C1"/>
    <w:rsid w:val="00AC28C5"/>
    <w:rsid w:val="00AC3F90"/>
    <w:rsid w:val="00AD27DE"/>
    <w:rsid w:val="00AD2B83"/>
    <w:rsid w:val="00AD3ABD"/>
    <w:rsid w:val="00AD505C"/>
    <w:rsid w:val="00AD57CA"/>
    <w:rsid w:val="00AD7BA7"/>
    <w:rsid w:val="00AE6706"/>
    <w:rsid w:val="00AE6996"/>
    <w:rsid w:val="00AF12DE"/>
    <w:rsid w:val="00AF4CF9"/>
    <w:rsid w:val="00B01725"/>
    <w:rsid w:val="00B04E13"/>
    <w:rsid w:val="00B0732F"/>
    <w:rsid w:val="00B16D03"/>
    <w:rsid w:val="00B20BFB"/>
    <w:rsid w:val="00B21D50"/>
    <w:rsid w:val="00B22C04"/>
    <w:rsid w:val="00B27449"/>
    <w:rsid w:val="00B31276"/>
    <w:rsid w:val="00B425DC"/>
    <w:rsid w:val="00B43A23"/>
    <w:rsid w:val="00B44593"/>
    <w:rsid w:val="00B45D1A"/>
    <w:rsid w:val="00B45EE7"/>
    <w:rsid w:val="00B5135B"/>
    <w:rsid w:val="00B51D90"/>
    <w:rsid w:val="00B56C3C"/>
    <w:rsid w:val="00B62C2F"/>
    <w:rsid w:val="00B6371F"/>
    <w:rsid w:val="00B65ED0"/>
    <w:rsid w:val="00B724FD"/>
    <w:rsid w:val="00B741C9"/>
    <w:rsid w:val="00B752D8"/>
    <w:rsid w:val="00B75E97"/>
    <w:rsid w:val="00B805E1"/>
    <w:rsid w:val="00B83382"/>
    <w:rsid w:val="00B850C5"/>
    <w:rsid w:val="00B92728"/>
    <w:rsid w:val="00B92C4E"/>
    <w:rsid w:val="00B93A50"/>
    <w:rsid w:val="00B975FB"/>
    <w:rsid w:val="00B975FC"/>
    <w:rsid w:val="00BA0778"/>
    <w:rsid w:val="00BA1297"/>
    <w:rsid w:val="00BA3A5F"/>
    <w:rsid w:val="00BA741F"/>
    <w:rsid w:val="00BA7CD9"/>
    <w:rsid w:val="00BB55A0"/>
    <w:rsid w:val="00BB568A"/>
    <w:rsid w:val="00BB7FD2"/>
    <w:rsid w:val="00BC19AA"/>
    <w:rsid w:val="00BC400C"/>
    <w:rsid w:val="00BC6822"/>
    <w:rsid w:val="00BD31BB"/>
    <w:rsid w:val="00BD49B1"/>
    <w:rsid w:val="00BD5B6C"/>
    <w:rsid w:val="00BD60DB"/>
    <w:rsid w:val="00BD7CCC"/>
    <w:rsid w:val="00BE5D20"/>
    <w:rsid w:val="00BE5DB7"/>
    <w:rsid w:val="00BF4B3E"/>
    <w:rsid w:val="00BF5297"/>
    <w:rsid w:val="00C01A60"/>
    <w:rsid w:val="00C02C6E"/>
    <w:rsid w:val="00C04DD3"/>
    <w:rsid w:val="00C0686D"/>
    <w:rsid w:val="00C06A92"/>
    <w:rsid w:val="00C0715B"/>
    <w:rsid w:val="00C07BA3"/>
    <w:rsid w:val="00C15CE0"/>
    <w:rsid w:val="00C17076"/>
    <w:rsid w:val="00C17BE7"/>
    <w:rsid w:val="00C216C1"/>
    <w:rsid w:val="00C2195E"/>
    <w:rsid w:val="00C222E4"/>
    <w:rsid w:val="00C22A8B"/>
    <w:rsid w:val="00C30217"/>
    <w:rsid w:val="00C30382"/>
    <w:rsid w:val="00C31358"/>
    <w:rsid w:val="00C32A4C"/>
    <w:rsid w:val="00C33D23"/>
    <w:rsid w:val="00C33E55"/>
    <w:rsid w:val="00C37C17"/>
    <w:rsid w:val="00C432AC"/>
    <w:rsid w:val="00C438DA"/>
    <w:rsid w:val="00C459EE"/>
    <w:rsid w:val="00C54130"/>
    <w:rsid w:val="00C54276"/>
    <w:rsid w:val="00C602DC"/>
    <w:rsid w:val="00C60773"/>
    <w:rsid w:val="00C60DA9"/>
    <w:rsid w:val="00C611BD"/>
    <w:rsid w:val="00C664F8"/>
    <w:rsid w:val="00C70643"/>
    <w:rsid w:val="00C71F02"/>
    <w:rsid w:val="00C74293"/>
    <w:rsid w:val="00C7463A"/>
    <w:rsid w:val="00C76B9A"/>
    <w:rsid w:val="00C8094A"/>
    <w:rsid w:val="00C83CF9"/>
    <w:rsid w:val="00C85DAE"/>
    <w:rsid w:val="00C86E1E"/>
    <w:rsid w:val="00C87B77"/>
    <w:rsid w:val="00C87E59"/>
    <w:rsid w:val="00C95BBF"/>
    <w:rsid w:val="00C95C08"/>
    <w:rsid w:val="00C97E0C"/>
    <w:rsid w:val="00CA0981"/>
    <w:rsid w:val="00CA2725"/>
    <w:rsid w:val="00CA4194"/>
    <w:rsid w:val="00CA4760"/>
    <w:rsid w:val="00CA5063"/>
    <w:rsid w:val="00CB1842"/>
    <w:rsid w:val="00CB1F61"/>
    <w:rsid w:val="00CC01BA"/>
    <w:rsid w:val="00CC0FC5"/>
    <w:rsid w:val="00CC4217"/>
    <w:rsid w:val="00CD5278"/>
    <w:rsid w:val="00CE1FBC"/>
    <w:rsid w:val="00CE2202"/>
    <w:rsid w:val="00CE50F0"/>
    <w:rsid w:val="00CE554F"/>
    <w:rsid w:val="00CE6319"/>
    <w:rsid w:val="00CE7EF9"/>
    <w:rsid w:val="00CE7F58"/>
    <w:rsid w:val="00CF177A"/>
    <w:rsid w:val="00CF2356"/>
    <w:rsid w:val="00CF3FCB"/>
    <w:rsid w:val="00CF5F50"/>
    <w:rsid w:val="00D01BC1"/>
    <w:rsid w:val="00D01ECA"/>
    <w:rsid w:val="00D04422"/>
    <w:rsid w:val="00D05706"/>
    <w:rsid w:val="00D05CDF"/>
    <w:rsid w:val="00D062D2"/>
    <w:rsid w:val="00D1148B"/>
    <w:rsid w:val="00D11917"/>
    <w:rsid w:val="00D12D2D"/>
    <w:rsid w:val="00D15F24"/>
    <w:rsid w:val="00D2372C"/>
    <w:rsid w:val="00D24267"/>
    <w:rsid w:val="00D254CF"/>
    <w:rsid w:val="00D260A5"/>
    <w:rsid w:val="00D2725F"/>
    <w:rsid w:val="00D27D46"/>
    <w:rsid w:val="00D3144C"/>
    <w:rsid w:val="00D3285F"/>
    <w:rsid w:val="00D33288"/>
    <w:rsid w:val="00D35B50"/>
    <w:rsid w:val="00D360FA"/>
    <w:rsid w:val="00D37A89"/>
    <w:rsid w:val="00D423D8"/>
    <w:rsid w:val="00D42BF5"/>
    <w:rsid w:val="00D43E01"/>
    <w:rsid w:val="00D45FEE"/>
    <w:rsid w:val="00D531A5"/>
    <w:rsid w:val="00D5509D"/>
    <w:rsid w:val="00D56C26"/>
    <w:rsid w:val="00D63685"/>
    <w:rsid w:val="00D65868"/>
    <w:rsid w:val="00D71CCD"/>
    <w:rsid w:val="00D7297A"/>
    <w:rsid w:val="00D741CA"/>
    <w:rsid w:val="00D74360"/>
    <w:rsid w:val="00D758DA"/>
    <w:rsid w:val="00D760A0"/>
    <w:rsid w:val="00D801D9"/>
    <w:rsid w:val="00D838DA"/>
    <w:rsid w:val="00D83B5A"/>
    <w:rsid w:val="00D85E92"/>
    <w:rsid w:val="00D85E9D"/>
    <w:rsid w:val="00D91D7C"/>
    <w:rsid w:val="00D929B7"/>
    <w:rsid w:val="00D94F70"/>
    <w:rsid w:val="00D96DE5"/>
    <w:rsid w:val="00D96E12"/>
    <w:rsid w:val="00DA2B97"/>
    <w:rsid w:val="00DA3AFA"/>
    <w:rsid w:val="00DA514F"/>
    <w:rsid w:val="00DA7CCE"/>
    <w:rsid w:val="00DB0675"/>
    <w:rsid w:val="00DB258F"/>
    <w:rsid w:val="00DB33D2"/>
    <w:rsid w:val="00DB4DDF"/>
    <w:rsid w:val="00DB6033"/>
    <w:rsid w:val="00DB7B25"/>
    <w:rsid w:val="00DC3B3A"/>
    <w:rsid w:val="00DC3BF7"/>
    <w:rsid w:val="00DC5F67"/>
    <w:rsid w:val="00DC662E"/>
    <w:rsid w:val="00DD06F1"/>
    <w:rsid w:val="00DD0743"/>
    <w:rsid w:val="00DD5000"/>
    <w:rsid w:val="00DE1F61"/>
    <w:rsid w:val="00DE237E"/>
    <w:rsid w:val="00DE30BE"/>
    <w:rsid w:val="00DF107D"/>
    <w:rsid w:val="00DF278C"/>
    <w:rsid w:val="00DF30BF"/>
    <w:rsid w:val="00DF4770"/>
    <w:rsid w:val="00E02D69"/>
    <w:rsid w:val="00E0306C"/>
    <w:rsid w:val="00E04890"/>
    <w:rsid w:val="00E1013C"/>
    <w:rsid w:val="00E12D88"/>
    <w:rsid w:val="00E13482"/>
    <w:rsid w:val="00E13B6D"/>
    <w:rsid w:val="00E164D1"/>
    <w:rsid w:val="00E227BB"/>
    <w:rsid w:val="00E22805"/>
    <w:rsid w:val="00E25431"/>
    <w:rsid w:val="00E26A16"/>
    <w:rsid w:val="00E27685"/>
    <w:rsid w:val="00E2779D"/>
    <w:rsid w:val="00E31135"/>
    <w:rsid w:val="00E31669"/>
    <w:rsid w:val="00E3401F"/>
    <w:rsid w:val="00E34EAB"/>
    <w:rsid w:val="00E35CA3"/>
    <w:rsid w:val="00E43B67"/>
    <w:rsid w:val="00E47737"/>
    <w:rsid w:val="00E47A81"/>
    <w:rsid w:val="00E55589"/>
    <w:rsid w:val="00E6133E"/>
    <w:rsid w:val="00E61A26"/>
    <w:rsid w:val="00E6714C"/>
    <w:rsid w:val="00E70466"/>
    <w:rsid w:val="00E7365A"/>
    <w:rsid w:val="00E74B0B"/>
    <w:rsid w:val="00E74E2B"/>
    <w:rsid w:val="00E75625"/>
    <w:rsid w:val="00E75E2F"/>
    <w:rsid w:val="00E7606F"/>
    <w:rsid w:val="00E83FBA"/>
    <w:rsid w:val="00E86559"/>
    <w:rsid w:val="00E94F9F"/>
    <w:rsid w:val="00E95FAD"/>
    <w:rsid w:val="00E96716"/>
    <w:rsid w:val="00E96BCC"/>
    <w:rsid w:val="00EA1028"/>
    <w:rsid w:val="00EA42B8"/>
    <w:rsid w:val="00EA5D25"/>
    <w:rsid w:val="00EA6744"/>
    <w:rsid w:val="00EB09E2"/>
    <w:rsid w:val="00EB1547"/>
    <w:rsid w:val="00EB2D49"/>
    <w:rsid w:val="00EB5174"/>
    <w:rsid w:val="00EB6D1A"/>
    <w:rsid w:val="00EC0466"/>
    <w:rsid w:val="00EC2D78"/>
    <w:rsid w:val="00EC6C8A"/>
    <w:rsid w:val="00ED1714"/>
    <w:rsid w:val="00ED2FBA"/>
    <w:rsid w:val="00ED2FEB"/>
    <w:rsid w:val="00ED3A4F"/>
    <w:rsid w:val="00EE0F5C"/>
    <w:rsid w:val="00EE1200"/>
    <w:rsid w:val="00EE2481"/>
    <w:rsid w:val="00EE4422"/>
    <w:rsid w:val="00EF2900"/>
    <w:rsid w:val="00EF330B"/>
    <w:rsid w:val="00EF49AA"/>
    <w:rsid w:val="00EF59A1"/>
    <w:rsid w:val="00EF6423"/>
    <w:rsid w:val="00EF64DA"/>
    <w:rsid w:val="00F02A20"/>
    <w:rsid w:val="00F03CFC"/>
    <w:rsid w:val="00F051CE"/>
    <w:rsid w:val="00F06BFB"/>
    <w:rsid w:val="00F10A59"/>
    <w:rsid w:val="00F10D0D"/>
    <w:rsid w:val="00F10F47"/>
    <w:rsid w:val="00F20908"/>
    <w:rsid w:val="00F2252C"/>
    <w:rsid w:val="00F244A7"/>
    <w:rsid w:val="00F2456E"/>
    <w:rsid w:val="00F252C7"/>
    <w:rsid w:val="00F27194"/>
    <w:rsid w:val="00F33BC9"/>
    <w:rsid w:val="00F368FB"/>
    <w:rsid w:val="00F40303"/>
    <w:rsid w:val="00F40589"/>
    <w:rsid w:val="00F4090D"/>
    <w:rsid w:val="00F41056"/>
    <w:rsid w:val="00F41E7D"/>
    <w:rsid w:val="00F423B7"/>
    <w:rsid w:val="00F4474C"/>
    <w:rsid w:val="00F450D8"/>
    <w:rsid w:val="00F515A8"/>
    <w:rsid w:val="00F557EB"/>
    <w:rsid w:val="00F67602"/>
    <w:rsid w:val="00F730E5"/>
    <w:rsid w:val="00F73991"/>
    <w:rsid w:val="00F73F2A"/>
    <w:rsid w:val="00F767CD"/>
    <w:rsid w:val="00F77F44"/>
    <w:rsid w:val="00F80C2C"/>
    <w:rsid w:val="00F82C67"/>
    <w:rsid w:val="00F8326F"/>
    <w:rsid w:val="00F83AB8"/>
    <w:rsid w:val="00F84A4B"/>
    <w:rsid w:val="00F8653E"/>
    <w:rsid w:val="00F8658C"/>
    <w:rsid w:val="00F94993"/>
    <w:rsid w:val="00F94FAF"/>
    <w:rsid w:val="00F95E18"/>
    <w:rsid w:val="00F966AF"/>
    <w:rsid w:val="00F97506"/>
    <w:rsid w:val="00FA1975"/>
    <w:rsid w:val="00FA442E"/>
    <w:rsid w:val="00FA7505"/>
    <w:rsid w:val="00FB14C4"/>
    <w:rsid w:val="00FB1DBC"/>
    <w:rsid w:val="00FC0B87"/>
    <w:rsid w:val="00FC3CF5"/>
    <w:rsid w:val="00FC45F0"/>
    <w:rsid w:val="00FC610F"/>
    <w:rsid w:val="00FC63F8"/>
    <w:rsid w:val="00FC67BF"/>
    <w:rsid w:val="00FC75DF"/>
    <w:rsid w:val="00FC7A76"/>
    <w:rsid w:val="00FD204D"/>
    <w:rsid w:val="00FD5D29"/>
    <w:rsid w:val="00FD7995"/>
    <w:rsid w:val="00FE244D"/>
    <w:rsid w:val="00FE47B9"/>
    <w:rsid w:val="00FE5831"/>
    <w:rsid w:val="00FE6633"/>
    <w:rsid w:val="00FE6EB5"/>
    <w:rsid w:val="00FF1127"/>
    <w:rsid w:val="00FF29B7"/>
    <w:rsid w:val="00FF6C9C"/>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BF9"/>
  <w15:docId w15:val="{09F34479-1E23-4E59-B721-2BFA296C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4B2"/>
    <w:rPr>
      <w:rFonts w:ascii="Times New Roman" w:hAnsi="Times New Roman"/>
      <w:sz w:val="24"/>
    </w:rPr>
  </w:style>
  <w:style w:type="paragraph" w:styleId="1">
    <w:name w:val="heading 1"/>
    <w:basedOn w:val="a"/>
    <w:next w:val="a"/>
    <w:link w:val="10"/>
    <w:uiPriority w:val="9"/>
    <w:qFormat/>
    <w:rsid w:val="006634B2"/>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33288"/>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4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4B2"/>
  </w:style>
  <w:style w:type="paragraph" w:styleId="a5">
    <w:name w:val="footer"/>
    <w:basedOn w:val="a"/>
    <w:link w:val="a6"/>
    <w:uiPriority w:val="99"/>
    <w:unhideWhenUsed/>
    <w:rsid w:val="006634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4B2"/>
  </w:style>
  <w:style w:type="character" w:customStyle="1" w:styleId="10">
    <w:name w:val="Заголовок 1 Знак"/>
    <w:basedOn w:val="a0"/>
    <w:link w:val="1"/>
    <w:uiPriority w:val="9"/>
    <w:rsid w:val="006634B2"/>
    <w:rPr>
      <w:rFonts w:ascii="Times New Roman" w:eastAsiaTheme="majorEastAsia" w:hAnsi="Times New Roman" w:cstheme="majorBidi"/>
      <w:b/>
      <w:color w:val="000000" w:themeColor="text1"/>
      <w:sz w:val="24"/>
      <w:szCs w:val="32"/>
    </w:rPr>
  </w:style>
  <w:style w:type="paragraph" w:styleId="a7">
    <w:name w:val="List Paragraph"/>
    <w:aliases w:val="маркированный,Elenco Normale,List1,List11,List111,List1111,List Paragraph (numbered (a)),Use Case List Paragraph,NUMBERED PARAGRAPH,List Paragraph 1,Citation List,Абзац с отступом,strich,2nd Tier Header,Абзац списка2,Абзац списка 3,UL,1"/>
    <w:basedOn w:val="a"/>
    <w:link w:val="a8"/>
    <w:uiPriority w:val="34"/>
    <w:qFormat/>
    <w:rsid w:val="006634B2"/>
    <w:pPr>
      <w:ind w:left="720"/>
      <w:contextualSpacing/>
    </w:pPr>
  </w:style>
  <w:style w:type="character" w:customStyle="1" w:styleId="20">
    <w:name w:val="Заголовок 2 Знак"/>
    <w:basedOn w:val="a0"/>
    <w:link w:val="2"/>
    <w:uiPriority w:val="9"/>
    <w:rsid w:val="00D33288"/>
    <w:rPr>
      <w:rFonts w:ascii="Times New Roman" w:eastAsiaTheme="majorEastAsia" w:hAnsi="Times New Roman" w:cstheme="majorBidi"/>
      <w:b/>
      <w:sz w:val="24"/>
      <w:szCs w:val="26"/>
    </w:rPr>
  </w:style>
  <w:style w:type="character" w:styleId="a9">
    <w:name w:val="annotation reference"/>
    <w:uiPriority w:val="99"/>
    <w:qFormat/>
    <w:rsid w:val="009B4047"/>
    <w:rPr>
      <w:sz w:val="16"/>
      <w:szCs w:val="16"/>
    </w:rPr>
  </w:style>
  <w:style w:type="paragraph" w:styleId="11">
    <w:name w:val="index 1"/>
    <w:basedOn w:val="a"/>
    <w:next w:val="a"/>
    <w:autoRedefine/>
    <w:uiPriority w:val="99"/>
    <w:semiHidden/>
    <w:unhideWhenUsed/>
    <w:rsid w:val="009B4047"/>
    <w:pPr>
      <w:spacing w:after="0" w:line="240" w:lineRule="auto"/>
      <w:ind w:left="240" w:hanging="240"/>
    </w:pPr>
  </w:style>
  <w:style w:type="paragraph" w:styleId="aa">
    <w:name w:val="index heading"/>
    <w:basedOn w:val="a"/>
    <w:qFormat/>
    <w:rsid w:val="009B4047"/>
    <w:pPr>
      <w:suppressLineNumbers/>
      <w:spacing w:after="0" w:line="240" w:lineRule="auto"/>
      <w:jc w:val="both"/>
    </w:pPr>
    <w:rPr>
      <w:rFonts w:eastAsia="Calibri" w:cs="Arial"/>
      <w:lang w:eastAsia="zh-CN"/>
    </w:rPr>
  </w:style>
  <w:style w:type="paragraph" w:styleId="ab">
    <w:name w:val="annotation text"/>
    <w:basedOn w:val="a"/>
    <w:link w:val="12"/>
    <w:qFormat/>
    <w:rsid w:val="009B4047"/>
    <w:pPr>
      <w:spacing w:after="0" w:line="240" w:lineRule="auto"/>
      <w:jc w:val="both"/>
    </w:pPr>
    <w:rPr>
      <w:rFonts w:eastAsia="Calibri" w:cs="Times New Roman"/>
      <w:sz w:val="20"/>
      <w:szCs w:val="20"/>
      <w:lang w:eastAsia="zh-CN"/>
    </w:rPr>
  </w:style>
  <w:style w:type="character" w:customStyle="1" w:styleId="ac">
    <w:name w:val="Текст примечания Знак"/>
    <w:basedOn w:val="a0"/>
    <w:uiPriority w:val="99"/>
    <w:semiHidden/>
    <w:rsid w:val="009B4047"/>
    <w:rPr>
      <w:rFonts w:ascii="Times New Roman" w:hAnsi="Times New Roman"/>
      <w:sz w:val="20"/>
      <w:szCs w:val="20"/>
    </w:rPr>
  </w:style>
  <w:style w:type="character" w:customStyle="1" w:styleId="12">
    <w:name w:val="Текст примечания Знак1"/>
    <w:link w:val="ab"/>
    <w:rsid w:val="009B4047"/>
    <w:rPr>
      <w:rFonts w:ascii="Times New Roman" w:eastAsia="Calibri" w:hAnsi="Times New Roman" w:cs="Times New Roman"/>
      <w:sz w:val="20"/>
      <w:szCs w:val="20"/>
      <w:lang w:eastAsia="zh-CN"/>
    </w:rPr>
  </w:style>
  <w:style w:type="paragraph" w:styleId="ad">
    <w:name w:val="Balloon Text"/>
    <w:basedOn w:val="a"/>
    <w:link w:val="ae"/>
    <w:uiPriority w:val="99"/>
    <w:semiHidden/>
    <w:unhideWhenUsed/>
    <w:rsid w:val="009B404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4047"/>
    <w:rPr>
      <w:rFonts w:ascii="Segoe UI" w:hAnsi="Segoe UI" w:cs="Segoe UI"/>
      <w:sz w:val="18"/>
      <w:szCs w:val="18"/>
    </w:rPr>
  </w:style>
  <w:style w:type="paragraph" w:customStyle="1" w:styleId="af">
    <w:name w:val="표준 단락"/>
    <w:rsid w:val="00A80AD1"/>
    <w:pPr>
      <w:widowControl w:val="0"/>
      <w:autoSpaceDE w:val="0"/>
      <w:autoSpaceDN w:val="0"/>
      <w:adjustRightInd w:val="0"/>
      <w:spacing w:after="0" w:line="320" w:lineRule="atLeast"/>
      <w:textAlignment w:val="baseline"/>
    </w:pPr>
    <w:rPr>
      <w:rFonts w:ascii="Batang" w:eastAsia="Batang" w:hAnsi="Batang" w:cs="Times New Roman"/>
      <w:color w:val="000000"/>
      <w:sz w:val="20"/>
      <w:szCs w:val="20"/>
      <w:lang w:val="en-US" w:eastAsia="ko-KR"/>
    </w:rPr>
  </w:style>
  <w:style w:type="paragraph" w:styleId="13">
    <w:name w:val="toc 1"/>
    <w:basedOn w:val="a"/>
    <w:next w:val="a"/>
    <w:autoRedefine/>
    <w:uiPriority w:val="39"/>
    <w:unhideWhenUsed/>
    <w:rsid w:val="00A27693"/>
    <w:pPr>
      <w:spacing w:after="100"/>
    </w:pPr>
  </w:style>
  <w:style w:type="paragraph" w:styleId="21">
    <w:name w:val="toc 2"/>
    <w:basedOn w:val="a"/>
    <w:next w:val="a"/>
    <w:autoRedefine/>
    <w:uiPriority w:val="39"/>
    <w:unhideWhenUsed/>
    <w:rsid w:val="00A27693"/>
    <w:pPr>
      <w:spacing w:after="100"/>
      <w:ind w:left="240"/>
    </w:pPr>
  </w:style>
  <w:style w:type="character" w:styleId="af0">
    <w:name w:val="Hyperlink"/>
    <w:basedOn w:val="a0"/>
    <w:uiPriority w:val="99"/>
    <w:unhideWhenUsed/>
    <w:rsid w:val="00A27693"/>
    <w:rPr>
      <w:color w:val="0563C1" w:themeColor="hyperlink"/>
      <w:u w:val="single"/>
    </w:rPr>
  </w:style>
  <w:style w:type="paragraph" w:styleId="af1">
    <w:name w:val="TOC Heading"/>
    <w:basedOn w:val="1"/>
    <w:next w:val="a"/>
    <w:uiPriority w:val="39"/>
    <w:unhideWhenUsed/>
    <w:qFormat/>
    <w:rsid w:val="006C5299"/>
    <w:pPr>
      <w:jc w:val="left"/>
      <w:outlineLvl w:val="9"/>
    </w:pPr>
    <w:rPr>
      <w:rFonts w:asciiTheme="majorHAnsi" w:hAnsiTheme="majorHAnsi"/>
      <w:b w:val="0"/>
      <w:color w:val="2E74B5" w:themeColor="accent1" w:themeShade="BF"/>
      <w:sz w:val="32"/>
      <w:lang w:eastAsia="ru-RU"/>
    </w:rPr>
  </w:style>
  <w:style w:type="paragraph" w:styleId="3">
    <w:name w:val="toc 3"/>
    <w:basedOn w:val="a"/>
    <w:next w:val="a"/>
    <w:autoRedefine/>
    <w:uiPriority w:val="39"/>
    <w:unhideWhenUsed/>
    <w:rsid w:val="006C5299"/>
    <w:pPr>
      <w:spacing w:after="100"/>
      <w:ind w:left="440"/>
    </w:pPr>
    <w:rPr>
      <w:rFonts w:asciiTheme="minorHAnsi" w:eastAsiaTheme="minorEastAsia" w:hAnsiTheme="minorHAnsi" w:cs="Times New Roman"/>
      <w:sz w:val="22"/>
      <w:lang w:eastAsia="ru-RU"/>
    </w:rPr>
  </w:style>
  <w:style w:type="paragraph" w:styleId="af2">
    <w:name w:val="annotation subject"/>
    <w:basedOn w:val="ab"/>
    <w:next w:val="ab"/>
    <w:link w:val="af3"/>
    <w:uiPriority w:val="99"/>
    <w:semiHidden/>
    <w:unhideWhenUsed/>
    <w:rsid w:val="00375658"/>
    <w:pPr>
      <w:spacing w:after="160"/>
      <w:jc w:val="left"/>
    </w:pPr>
    <w:rPr>
      <w:rFonts w:eastAsiaTheme="minorHAnsi" w:cstheme="minorBidi"/>
      <w:b/>
      <w:bCs/>
      <w:lang w:eastAsia="en-US"/>
    </w:rPr>
  </w:style>
  <w:style w:type="character" w:customStyle="1" w:styleId="af3">
    <w:name w:val="Тема примечания Знак"/>
    <w:basedOn w:val="12"/>
    <w:link w:val="af2"/>
    <w:uiPriority w:val="99"/>
    <w:semiHidden/>
    <w:rsid w:val="00375658"/>
    <w:rPr>
      <w:rFonts w:ascii="Times New Roman" w:eastAsia="Calibri" w:hAnsi="Times New Roman" w:cs="Times New Roman"/>
      <w:b/>
      <w:bCs/>
      <w:sz w:val="20"/>
      <w:szCs w:val="20"/>
      <w:lang w:eastAsia="zh-CN"/>
    </w:rPr>
  </w:style>
  <w:style w:type="character" w:customStyle="1" w:styleId="ui-provider">
    <w:name w:val="ui-provider"/>
    <w:basedOn w:val="a0"/>
    <w:rsid w:val="00D96DE5"/>
  </w:style>
  <w:style w:type="paragraph" w:styleId="af4">
    <w:name w:val="Normal (Web)"/>
    <w:basedOn w:val="a"/>
    <w:uiPriority w:val="99"/>
    <w:unhideWhenUsed/>
    <w:rsid w:val="005C2265"/>
    <w:pPr>
      <w:spacing w:before="100" w:beforeAutospacing="1" w:after="100" w:afterAutospacing="1" w:line="240" w:lineRule="auto"/>
    </w:pPr>
    <w:rPr>
      <w:rFonts w:eastAsia="Times New Roman" w:cs="Times New Roman"/>
      <w:szCs w:val="24"/>
      <w:lang w:eastAsia="ru-RU"/>
    </w:rPr>
  </w:style>
  <w:style w:type="paragraph" w:styleId="af5">
    <w:name w:val="No Spacing"/>
    <w:uiPriority w:val="1"/>
    <w:qFormat/>
    <w:rsid w:val="000F4021"/>
    <w:pPr>
      <w:spacing w:after="0" w:line="240" w:lineRule="auto"/>
    </w:pPr>
    <w:rPr>
      <w:lang w:val="en-US"/>
    </w:rPr>
  </w:style>
  <w:style w:type="character" w:customStyle="1" w:styleId="a8">
    <w:name w:val="Абзац списка Знак"/>
    <w:aliases w:val="маркированный Знак,Elenco Normale Знак,List1 Знак,List11 Знак,List111 Знак,List1111 Знак,List Paragraph (numbered (a)) Знак,Use Case List Paragraph Знак,NUMBERED PARAGRAPH Знак,List Paragraph 1 Знак,Citation List Знак,strich Знак"/>
    <w:basedOn w:val="a0"/>
    <w:link w:val="a7"/>
    <w:uiPriority w:val="34"/>
    <w:qFormat/>
    <w:rsid w:val="00611725"/>
    <w:rPr>
      <w:rFonts w:ascii="Times New Roman" w:hAnsi="Times New Roman"/>
      <w:sz w:val="24"/>
    </w:rPr>
  </w:style>
  <w:style w:type="paragraph" w:styleId="af6">
    <w:name w:val="Revision"/>
    <w:hidden/>
    <w:uiPriority w:val="99"/>
    <w:semiHidden/>
    <w:rsid w:val="00887EF9"/>
    <w:pPr>
      <w:spacing w:after="0" w:line="240" w:lineRule="auto"/>
    </w:pPr>
    <w:rPr>
      <w:rFonts w:ascii="Times New Roman" w:hAnsi="Times New Roman"/>
      <w:sz w:val="24"/>
    </w:rPr>
  </w:style>
  <w:style w:type="table" w:styleId="af7">
    <w:name w:val="Table Grid"/>
    <w:basedOn w:val="a1"/>
    <w:uiPriority w:val="39"/>
    <w:rsid w:val="00BD49B1"/>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EB09E2"/>
    <w:rPr>
      <w:color w:val="954F72" w:themeColor="followedHyperlink"/>
      <w:u w:val="single"/>
    </w:rPr>
  </w:style>
  <w:style w:type="paragraph" w:customStyle="1" w:styleId="pj">
    <w:name w:val="pj"/>
    <w:basedOn w:val="a"/>
    <w:rsid w:val="00CE2202"/>
    <w:pPr>
      <w:spacing w:after="0" w:line="240" w:lineRule="auto"/>
      <w:ind w:firstLine="400"/>
      <w:jc w:val="both"/>
    </w:pPr>
    <w:rPr>
      <w:rFonts w:eastAsiaTheme="minorEastAsia" w:cs="Times New Roman"/>
      <w:color w:val="000000"/>
      <w:szCs w:val="24"/>
      <w:lang w:eastAsia="ru-RU"/>
    </w:rPr>
  </w:style>
  <w:style w:type="character" w:customStyle="1" w:styleId="s19">
    <w:name w:val="s19"/>
    <w:basedOn w:val="a0"/>
    <w:rsid w:val="00CE2202"/>
    <w:rPr>
      <w:rFonts w:ascii="Times New Roman" w:hAnsi="Times New Roman" w:cs="Times New Roman" w:hint="default"/>
      <w:color w:val="008000"/>
    </w:rPr>
  </w:style>
  <w:style w:type="table" w:customStyle="1" w:styleId="TableGrid">
    <w:name w:val="TableGrid"/>
    <w:rsid w:val="00EF64DA"/>
    <w:pPr>
      <w:spacing w:after="0" w:line="240" w:lineRule="auto"/>
    </w:pPr>
    <w:rPr>
      <w:rFonts w:eastAsiaTheme="minorEastAsia"/>
      <w:kern w:val="2"/>
      <w:lang w:eastAsia="ru-RU"/>
    </w:rPr>
    <w:tblPr>
      <w:tblCellMar>
        <w:top w:w="0" w:type="dxa"/>
        <w:left w:w="0" w:type="dxa"/>
        <w:bottom w:w="0" w:type="dxa"/>
        <w:right w:w="0" w:type="dxa"/>
      </w:tblCellMar>
    </w:tblPr>
  </w:style>
  <w:style w:type="paragraph" w:styleId="22">
    <w:name w:val="Body Text 2"/>
    <w:basedOn w:val="a"/>
    <w:link w:val="23"/>
    <w:uiPriority w:val="99"/>
    <w:unhideWhenUsed/>
    <w:rsid w:val="001316C7"/>
    <w:pPr>
      <w:spacing w:after="120" w:line="480" w:lineRule="auto"/>
    </w:pPr>
    <w:rPr>
      <w:rFonts w:ascii="Calibri" w:hAnsi="Calibri" w:cs="Calibri"/>
      <w:sz w:val="20"/>
      <w:szCs w:val="20"/>
      <w:lang w:eastAsia="ru-RU"/>
    </w:rPr>
  </w:style>
  <w:style w:type="character" w:customStyle="1" w:styleId="23">
    <w:name w:val="Основной текст 2 Знак"/>
    <w:basedOn w:val="a0"/>
    <w:link w:val="22"/>
    <w:uiPriority w:val="99"/>
    <w:rsid w:val="001316C7"/>
    <w:rPr>
      <w:rFonts w:ascii="Calibri" w:hAnsi="Calibri" w:cs="Calibri"/>
      <w:sz w:val="20"/>
      <w:szCs w:val="20"/>
      <w:lang w:eastAsia="ru-RU"/>
    </w:rPr>
  </w:style>
  <w:style w:type="character" w:customStyle="1" w:styleId="s1">
    <w:name w:val="s1"/>
    <w:basedOn w:val="a0"/>
    <w:rsid w:val="00EB5174"/>
    <w:rPr>
      <w:rFonts w:ascii="Times New Roman" w:hAnsi="Times New Roman" w:cs="Times New Roman" w:hint="default"/>
      <w:b/>
      <w:bCs/>
      <w:color w:val="000000"/>
    </w:rPr>
  </w:style>
  <w:style w:type="character" w:customStyle="1" w:styleId="14">
    <w:name w:val="Неразрешенное упоминание1"/>
    <w:basedOn w:val="a0"/>
    <w:uiPriority w:val="99"/>
    <w:semiHidden/>
    <w:unhideWhenUsed/>
    <w:rsid w:val="009A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9289">
      <w:bodyDiv w:val="1"/>
      <w:marLeft w:val="0"/>
      <w:marRight w:val="0"/>
      <w:marTop w:val="0"/>
      <w:marBottom w:val="0"/>
      <w:divBdr>
        <w:top w:val="none" w:sz="0" w:space="0" w:color="auto"/>
        <w:left w:val="none" w:sz="0" w:space="0" w:color="auto"/>
        <w:bottom w:val="none" w:sz="0" w:space="0" w:color="auto"/>
        <w:right w:val="none" w:sz="0" w:space="0" w:color="auto"/>
      </w:divBdr>
    </w:div>
    <w:div w:id="633799736">
      <w:bodyDiv w:val="1"/>
      <w:marLeft w:val="0"/>
      <w:marRight w:val="0"/>
      <w:marTop w:val="0"/>
      <w:marBottom w:val="0"/>
      <w:divBdr>
        <w:top w:val="none" w:sz="0" w:space="0" w:color="auto"/>
        <w:left w:val="none" w:sz="0" w:space="0" w:color="auto"/>
        <w:bottom w:val="none" w:sz="0" w:space="0" w:color="auto"/>
        <w:right w:val="none" w:sz="0" w:space="0" w:color="auto"/>
      </w:divBdr>
    </w:div>
    <w:div w:id="962224497">
      <w:bodyDiv w:val="1"/>
      <w:marLeft w:val="0"/>
      <w:marRight w:val="0"/>
      <w:marTop w:val="0"/>
      <w:marBottom w:val="0"/>
      <w:divBdr>
        <w:top w:val="none" w:sz="0" w:space="0" w:color="auto"/>
        <w:left w:val="none" w:sz="0" w:space="0" w:color="auto"/>
        <w:bottom w:val="none" w:sz="0" w:space="0" w:color="auto"/>
        <w:right w:val="none" w:sz="0" w:space="0" w:color="auto"/>
      </w:divBdr>
    </w:div>
    <w:div w:id="1327856825">
      <w:bodyDiv w:val="1"/>
      <w:marLeft w:val="0"/>
      <w:marRight w:val="0"/>
      <w:marTop w:val="0"/>
      <w:marBottom w:val="0"/>
      <w:divBdr>
        <w:top w:val="none" w:sz="0" w:space="0" w:color="auto"/>
        <w:left w:val="none" w:sz="0" w:space="0" w:color="auto"/>
        <w:bottom w:val="none" w:sz="0" w:space="0" w:color="auto"/>
        <w:right w:val="none" w:sz="0" w:space="0" w:color="auto"/>
      </w:divBdr>
      <w:divsChild>
        <w:div w:id="156844664">
          <w:marLeft w:val="274"/>
          <w:marRight w:val="0"/>
          <w:marTop w:val="0"/>
          <w:marBottom w:val="60"/>
          <w:divBdr>
            <w:top w:val="none" w:sz="0" w:space="0" w:color="auto"/>
            <w:left w:val="none" w:sz="0" w:space="0" w:color="auto"/>
            <w:bottom w:val="none" w:sz="0" w:space="0" w:color="auto"/>
            <w:right w:val="none" w:sz="0" w:space="0" w:color="auto"/>
          </w:divBdr>
        </w:div>
        <w:div w:id="455490794">
          <w:marLeft w:val="274"/>
          <w:marRight w:val="0"/>
          <w:marTop w:val="0"/>
          <w:marBottom w:val="60"/>
          <w:divBdr>
            <w:top w:val="none" w:sz="0" w:space="0" w:color="auto"/>
            <w:left w:val="none" w:sz="0" w:space="0" w:color="auto"/>
            <w:bottom w:val="none" w:sz="0" w:space="0" w:color="auto"/>
            <w:right w:val="none" w:sz="0" w:space="0" w:color="auto"/>
          </w:divBdr>
        </w:div>
        <w:div w:id="1143692400">
          <w:marLeft w:val="274"/>
          <w:marRight w:val="0"/>
          <w:marTop w:val="0"/>
          <w:marBottom w:val="60"/>
          <w:divBdr>
            <w:top w:val="none" w:sz="0" w:space="0" w:color="auto"/>
            <w:left w:val="none" w:sz="0" w:space="0" w:color="auto"/>
            <w:bottom w:val="none" w:sz="0" w:space="0" w:color="auto"/>
            <w:right w:val="none" w:sz="0" w:space="0" w:color="auto"/>
          </w:divBdr>
        </w:div>
        <w:div w:id="765006631">
          <w:marLeft w:val="274"/>
          <w:marRight w:val="0"/>
          <w:marTop w:val="0"/>
          <w:marBottom w:val="60"/>
          <w:divBdr>
            <w:top w:val="none" w:sz="0" w:space="0" w:color="auto"/>
            <w:left w:val="none" w:sz="0" w:space="0" w:color="auto"/>
            <w:bottom w:val="none" w:sz="0" w:space="0" w:color="auto"/>
            <w:right w:val="none" w:sz="0" w:space="0" w:color="auto"/>
          </w:divBdr>
        </w:div>
      </w:divsChild>
    </w:div>
    <w:div w:id="18171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esa/coordination/Consolidated.list-13FinalFinal.pdf" TargetMode="External"/><Relationship Id="rId18" Type="http://schemas.openxmlformats.org/officeDocument/2006/relationships/hyperlink" Target="http://www.cites.org/eng/app/E-Apr2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org/esa/coordination/Consolidated.list-13FinalFinal.pdf" TargetMode="External"/><Relationship Id="rId17" Type="http://schemas.openxmlformats.org/officeDocument/2006/relationships/hyperlink" Target="http://www.cites.org/eng/app/E-Apr27.pdf" TargetMode="External"/><Relationship Id="rId2" Type="http://schemas.openxmlformats.org/officeDocument/2006/relationships/customXml" Target="../customXml/item2.xml"/><Relationship Id="rId16" Type="http://schemas.openxmlformats.org/officeDocument/2006/relationships/hyperlink" Target="http://www.cites.org/eng/app/E-Apr2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esa/coordination/Consolidated.list-13FinalFinal.pdf" TargetMode="External"/><Relationship Id="rId5" Type="http://schemas.openxmlformats.org/officeDocument/2006/relationships/numbering" Target="numbering.xml"/><Relationship Id="rId15" Type="http://schemas.openxmlformats.org/officeDocument/2006/relationships/hyperlink" Target="http://www.cites.org/eng/app/E-Apr27.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esa/coordination/Consolidated.list-13Final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4867BEA1C4345AD0D422BC51B8C28" ma:contentTypeVersion="4" ma:contentTypeDescription="Create a new document." ma:contentTypeScope="" ma:versionID="29b331fe09934cb1bae4ff9ba4735e42">
  <xsd:schema xmlns:xsd="http://www.w3.org/2001/XMLSchema" xmlns:xs="http://www.w3.org/2001/XMLSchema" xmlns:p="http://schemas.microsoft.com/office/2006/metadata/properties" xmlns:ns2="4f64d2b4-e815-40e1-b01a-8fda11f4c381" xmlns:ns3="bde95d11-adfa-4b21-ad27-800772cf76a3" targetNamespace="http://schemas.microsoft.com/office/2006/metadata/properties" ma:root="true" ma:fieldsID="518530ce7fe0f26fe9fd703512403b4a" ns2:_="" ns3:_="">
    <xsd:import namespace="4f64d2b4-e815-40e1-b01a-8fda11f4c381"/>
    <xsd:import namespace="bde95d11-adfa-4b21-ad27-800772cf76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d2b4-e815-40e1-b01a-8fda11f4c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5d11-adfa-4b21-ad27-800772cf76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79CD-ABE2-49F9-8B3B-662F91C6E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A24D6-EC71-474D-9312-C6EF44F9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d2b4-e815-40e1-b01a-8fda11f4c381"/>
    <ds:schemaRef ds:uri="bde95d11-adfa-4b21-ad27-800772cf7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7282-4D4D-4087-AE97-BF7F305CC183}">
  <ds:schemaRefs>
    <ds:schemaRef ds:uri="http://schemas.microsoft.com/sharepoint/v3/contenttype/forms"/>
  </ds:schemaRefs>
</ds:datastoreItem>
</file>

<file path=customXml/itemProps4.xml><?xml version="1.0" encoding="utf-8"?>
<ds:datastoreItem xmlns:ds="http://schemas.openxmlformats.org/officeDocument/2006/customXml" ds:itemID="{0DCA222F-538C-46E8-839E-B8EC9DF7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4643</Words>
  <Characters>26471</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 Татьяна Анатольевна</dc:creator>
  <cp:lastModifiedBy>Тюмамбаева Рауза Куанышевна</cp:lastModifiedBy>
  <cp:revision>2</cp:revision>
  <cp:lastPrinted>2023-08-28T04:23:00Z</cp:lastPrinted>
  <dcterms:created xsi:type="dcterms:W3CDTF">2025-05-30T07:44:00Z</dcterms:created>
  <dcterms:modified xsi:type="dcterms:W3CDTF">2025-05-30T07:44:00Z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0x0101009DA4867BEA1C4345AD0D422BC51B8C28</vt:lpwstr>
  </property>
</Properties>
</file>